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07C" w:rsidRPr="00744A14" w:rsidRDefault="006A407C" w:rsidP="00606AAA">
      <w:pPr>
        <w:rPr>
          <w:color w:val="244061" w:themeColor="accent1" w:themeShade="80"/>
          <w:sz w:val="44"/>
          <w:szCs w:val="44"/>
        </w:rPr>
      </w:pPr>
      <w:bookmarkStart w:id="0" w:name="_Toc118717365"/>
      <w:r w:rsidRPr="00744A14">
        <w:rPr>
          <w:color w:val="244061" w:themeColor="accent1" w:themeShade="80"/>
          <w:sz w:val="44"/>
          <w:szCs w:val="44"/>
        </w:rPr>
        <w:t>Mental Health Community Grants in Sussex, bringing the NHS and voluntary sector together</w:t>
      </w:r>
      <w:bookmarkEnd w:id="0"/>
    </w:p>
    <w:p w:rsidR="006A407C" w:rsidRPr="00951392" w:rsidRDefault="006A407C" w:rsidP="00606AAA"/>
    <w:p w:rsidR="006A407C" w:rsidRPr="00951392" w:rsidRDefault="006A407C" w:rsidP="006A407C">
      <w:pPr>
        <w:rPr>
          <w:rFonts w:cs="Arial"/>
          <w:b/>
          <w:sz w:val="56"/>
          <w:szCs w:val="56"/>
        </w:rPr>
      </w:pPr>
    </w:p>
    <w:p w:rsidR="006A407C" w:rsidRPr="00744A14" w:rsidRDefault="006A407C" w:rsidP="006A407C">
      <w:pPr>
        <w:rPr>
          <w:rFonts w:cs="Arial"/>
          <w:b/>
          <w:sz w:val="52"/>
          <w:szCs w:val="52"/>
        </w:rPr>
      </w:pPr>
      <w:r w:rsidRPr="00744A14">
        <w:rPr>
          <w:rFonts w:cs="Arial"/>
          <w:b/>
          <w:sz w:val="52"/>
          <w:szCs w:val="52"/>
        </w:rPr>
        <w:t>Call for Applications: Supporting the growth and development of the Mental Health Voluntary, Community, and Social Enterprise (VCSE) Sector in Sussex</w:t>
      </w:r>
    </w:p>
    <w:p w:rsidR="00951392" w:rsidRDefault="00951392" w:rsidP="006A407C">
      <w:pPr>
        <w:rPr>
          <w:rFonts w:cs="Arial"/>
          <w:b/>
          <w:sz w:val="36"/>
          <w:szCs w:val="36"/>
        </w:rPr>
      </w:pPr>
    </w:p>
    <w:p w:rsidR="00E373A3" w:rsidRPr="00E373A3" w:rsidRDefault="00E373A3" w:rsidP="00E373A3">
      <w:pPr>
        <w:rPr>
          <w:b/>
          <w:i/>
          <w:sz w:val="32"/>
          <w:szCs w:val="32"/>
        </w:rPr>
      </w:pPr>
      <w:r w:rsidRPr="00E373A3">
        <w:rPr>
          <w:b/>
          <w:i/>
          <w:sz w:val="32"/>
          <w:szCs w:val="32"/>
        </w:rPr>
        <w:t xml:space="preserve">Funded by the Mental Health Collaborative of Sussex Health and Care </w:t>
      </w:r>
    </w:p>
    <w:p w:rsidR="00951392" w:rsidRDefault="00951392" w:rsidP="006A407C">
      <w:pPr>
        <w:rPr>
          <w:rFonts w:cs="Arial"/>
          <w:b/>
          <w:sz w:val="36"/>
          <w:szCs w:val="36"/>
        </w:rPr>
      </w:pPr>
    </w:p>
    <w:p w:rsidR="00951392" w:rsidRDefault="00951392" w:rsidP="006A407C">
      <w:pPr>
        <w:rPr>
          <w:rFonts w:cs="Arial"/>
          <w:b/>
          <w:sz w:val="36"/>
          <w:szCs w:val="36"/>
        </w:rPr>
      </w:pPr>
    </w:p>
    <w:p w:rsidR="00951392" w:rsidRDefault="00951392" w:rsidP="006A407C">
      <w:pPr>
        <w:rPr>
          <w:rFonts w:cs="Arial"/>
          <w:b/>
          <w:sz w:val="36"/>
          <w:szCs w:val="36"/>
        </w:rPr>
      </w:pPr>
    </w:p>
    <w:p w:rsidR="00951392" w:rsidRPr="006A407C" w:rsidRDefault="00951392" w:rsidP="006A407C">
      <w:pPr>
        <w:rPr>
          <w:rFonts w:cs="Arial"/>
          <w:b/>
          <w:sz w:val="36"/>
          <w:szCs w:val="36"/>
        </w:rPr>
      </w:pPr>
    </w:p>
    <w:p w:rsidR="006A407C" w:rsidRDefault="00744A14" w:rsidP="000A395F">
      <w:pPr>
        <w:pStyle w:val="Heading1"/>
        <w:rPr>
          <w:rFonts w:asciiTheme="minorHAnsi" w:hAnsiTheme="minorHAnsi" w:cstheme="minorHAnsi"/>
          <w:sz w:val="28"/>
          <w:szCs w:val="28"/>
        </w:rPr>
      </w:pPr>
      <w:r>
        <w:rPr>
          <w:b w:val="0"/>
          <w:noProof/>
          <w:sz w:val="36"/>
          <w:szCs w:val="36"/>
        </w:rPr>
        <w:drawing>
          <wp:anchor distT="0" distB="0" distL="114300" distR="114300" simplePos="0" relativeHeight="251658240" behindDoc="1" locked="0" layoutInCell="1" allowOverlap="1">
            <wp:simplePos x="0" y="0"/>
            <wp:positionH relativeFrom="column">
              <wp:posOffset>-298450</wp:posOffset>
            </wp:positionH>
            <wp:positionV relativeFrom="paragraph">
              <wp:posOffset>327025</wp:posOffset>
            </wp:positionV>
            <wp:extent cx="3256280" cy="1778000"/>
            <wp:effectExtent l="0" t="0" r="1270" b="0"/>
            <wp:wrapTight wrapText="bothSides">
              <wp:wrapPolygon edited="0">
                <wp:start x="0" y="0"/>
                <wp:lineTo x="0" y="21291"/>
                <wp:lineTo x="21482" y="21291"/>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s On_Strapline_logo_Orchid_RGB.jpg"/>
                    <pic:cNvPicPr/>
                  </pic:nvPicPr>
                  <pic:blipFill>
                    <a:blip r:embed="rId8">
                      <a:extLst>
                        <a:ext uri="{28A0092B-C50C-407E-A947-70E740481C1C}">
                          <a14:useLocalDpi xmlns:a14="http://schemas.microsoft.com/office/drawing/2010/main" val="0"/>
                        </a:ext>
                      </a:extLst>
                    </a:blip>
                    <a:stretch>
                      <a:fillRect/>
                    </a:stretch>
                  </pic:blipFill>
                  <pic:spPr>
                    <a:xfrm>
                      <a:off x="0" y="0"/>
                      <a:ext cx="3256280" cy="1778000"/>
                    </a:xfrm>
                    <a:prstGeom prst="rect">
                      <a:avLst/>
                    </a:prstGeom>
                  </pic:spPr>
                </pic:pic>
              </a:graphicData>
            </a:graphic>
            <wp14:sizeRelH relativeFrom="margin">
              <wp14:pctWidth>0</wp14:pctWidth>
            </wp14:sizeRelH>
            <wp14:sizeRelV relativeFrom="margin">
              <wp14:pctHeight>0</wp14:pctHeight>
            </wp14:sizeRelV>
          </wp:anchor>
        </w:drawing>
      </w:r>
      <w:r>
        <w:rPr>
          <w:b w:val="0"/>
          <w:noProof/>
          <w:sz w:val="36"/>
          <w:szCs w:val="36"/>
        </w:rPr>
        <w:drawing>
          <wp:anchor distT="0" distB="0" distL="114300" distR="114300" simplePos="0" relativeHeight="251659264" behindDoc="1" locked="0" layoutInCell="1" allowOverlap="1">
            <wp:simplePos x="0" y="0"/>
            <wp:positionH relativeFrom="column">
              <wp:posOffset>3543300</wp:posOffset>
            </wp:positionH>
            <wp:positionV relativeFrom="paragraph">
              <wp:posOffset>610235</wp:posOffset>
            </wp:positionV>
            <wp:extent cx="2431415" cy="935990"/>
            <wp:effectExtent l="0" t="0" r="6985" b="0"/>
            <wp:wrapTight wrapText="bothSides">
              <wp:wrapPolygon edited="0">
                <wp:start x="0" y="0"/>
                <wp:lineTo x="0" y="21102"/>
                <wp:lineTo x="21493" y="21102"/>
                <wp:lineTo x="214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FTLogo-RGB-4000x153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15" cy="935990"/>
                    </a:xfrm>
                    <a:prstGeom prst="rect">
                      <a:avLst/>
                    </a:prstGeom>
                  </pic:spPr>
                </pic:pic>
              </a:graphicData>
            </a:graphic>
            <wp14:sizeRelH relativeFrom="margin">
              <wp14:pctWidth>0</wp14:pctWidth>
            </wp14:sizeRelH>
            <wp14:sizeRelV relativeFrom="margin">
              <wp14:pctHeight>0</wp14:pctHeight>
            </wp14:sizeRelV>
          </wp:anchor>
        </w:drawing>
      </w:r>
    </w:p>
    <w:p w:rsidR="00606AAA" w:rsidRDefault="00606AAA" w:rsidP="00FA7F2C">
      <w:pPr>
        <w:rPr>
          <w:b/>
          <w:sz w:val="28"/>
          <w:szCs w:val="28"/>
        </w:rPr>
      </w:pPr>
    </w:p>
    <w:p w:rsidR="00606AAA" w:rsidRDefault="00606AAA"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744A14" w:rsidRDefault="00744A14" w:rsidP="00FA7F2C">
      <w:pPr>
        <w:rPr>
          <w:b/>
          <w:sz w:val="28"/>
          <w:szCs w:val="28"/>
        </w:rPr>
      </w:pPr>
    </w:p>
    <w:p w:rsidR="00FB1B75" w:rsidRDefault="003C129E" w:rsidP="00FA7F2C">
      <w:pPr>
        <w:rPr>
          <w:b/>
          <w:sz w:val="28"/>
          <w:szCs w:val="28"/>
        </w:rPr>
      </w:pPr>
      <w:r>
        <w:rPr>
          <w:b/>
          <w:sz w:val="28"/>
          <w:szCs w:val="28"/>
        </w:rPr>
        <w:t>Application</w:t>
      </w:r>
      <w:r w:rsidRPr="00AC0ED2">
        <w:rPr>
          <w:b/>
          <w:sz w:val="28"/>
          <w:szCs w:val="28"/>
        </w:rPr>
        <w:t xml:space="preserve"> </w:t>
      </w:r>
      <w:r w:rsidR="00AC0ED2" w:rsidRPr="00AC0ED2">
        <w:rPr>
          <w:b/>
          <w:sz w:val="28"/>
          <w:szCs w:val="28"/>
        </w:rPr>
        <w:t>Guidance</w:t>
      </w:r>
      <w:r w:rsidR="00DE67E1">
        <w:rPr>
          <w:b/>
          <w:sz w:val="28"/>
          <w:szCs w:val="28"/>
        </w:rPr>
        <w:t xml:space="preserve"> - updated November 2022</w:t>
      </w:r>
    </w:p>
    <w:p w:rsidR="00606AAA" w:rsidRDefault="00606AAA"/>
    <w:sdt>
      <w:sdtPr>
        <w:rPr>
          <w:rFonts w:ascii="Arial" w:eastAsiaTheme="minorHAnsi" w:hAnsi="Arial" w:cstheme="minorBidi"/>
          <w:color w:val="auto"/>
          <w:sz w:val="22"/>
          <w:szCs w:val="22"/>
          <w:lang w:val="en-GB"/>
        </w:rPr>
        <w:id w:val="1352985974"/>
        <w:docPartObj>
          <w:docPartGallery w:val="Table of Contents"/>
          <w:docPartUnique/>
        </w:docPartObj>
      </w:sdtPr>
      <w:sdtEndPr>
        <w:rPr>
          <w:b/>
          <w:bCs/>
          <w:noProof/>
        </w:rPr>
      </w:sdtEndPr>
      <w:sdtContent>
        <w:p w:rsidR="00744A14" w:rsidRDefault="00744A14">
          <w:pPr>
            <w:pStyle w:val="TOCHeading"/>
          </w:pPr>
          <w:r>
            <w:t>Contents</w:t>
          </w:r>
        </w:p>
        <w:p w:rsidR="00744A14" w:rsidRDefault="00744A14">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18719493" w:history="1">
            <w:r w:rsidRPr="007143FF">
              <w:rPr>
                <w:rStyle w:val="Hyperlink"/>
                <w:noProof/>
              </w:rPr>
              <w:t>What is available at this funding round?</w:t>
            </w:r>
            <w:r>
              <w:rPr>
                <w:noProof/>
                <w:webHidden/>
              </w:rPr>
              <w:tab/>
            </w:r>
            <w:r>
              <w:rPr>
                <w:noProof/>
                <w:webHidden/>
              </w:rPr>
              <w:fldChar w:fldCharType="begin"/>
            </w:r>
            <w:r>
              <w:rPr>
                <w:noProof/>
                <w:webHidden/>
              </w:rPr>
              <w:instrText xml:space="preserve"> PAGEREF _Toc118719493 \h </w:instrText>
            </w:r>
            <w:r>
              <w:rPr>
                <w:noProof/>
                <w:webHidden/>
              </w:rPr>
            </w:r>
            <w:r>
              <w:rPr>
                <w:noProof/>
                <w:webHidden/>
              </w:rPr>
              <w:fldChar w:fldCharType="separate"/>
            </w:r>
            <w:r w:rsidR="0085755C">
              <w:rPr>
                <w:noProof/>
                <w:webHidden/>
              </w:rPr>
              <w:t>2</w:t>
            </w:r>
            <w:r>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494" w:history="1">
            <w:r w:rsidR="00744A14" w:rsidRPr="007143FF">
              <w:rPr>
                <w:rStyle w:val="Hyperlink"/>
                <w:noProof/>
              </w:rPr>
              <w:t>Introduction</w:t>
            </w:r>
            <w:r w:rsidR="00744A14">
              <w:rPr>
                <w:noProof/>
                <w:webHidden/>
              </w:rPr>
              <w:tab/>
            </w:r>
            <w:r w:rsidR="00744A14">
              <w:rPr>
                <w:noProof/>
                <w:webHidden/>
              </w:rPr>
              <w:fldChar w:fldCharType="begin"/>
            </w:r>
            <w:r w:rsidR="00744A14">
              <w:rPr>
                <w:noProof/>
                <w:webHidden/>
              </w:rPr>
              <w:instrText xml:space="preserve"> PAGEREF _Toc118719494 \h </w:instrText>
            </w:r>
            <w:r w:rsidR="00744A14">
              <w:rPr>
                <w:noProof/>
                <w:webHidden/>
              </w:rPr>
            </w:r>
            <w:r w:rsidR="00744A14">
              <w:rPr>
                <w:noProof/>
                <w:webHidden/>
              </w:rPr>
              <w:fldChar w:fldCharType="separate"/>
            </w:r>
            <w:r w:rsidR="0085755C">
              <w:rPr>
                <w:noProof/>
                <w:webHidden/>
              </w:rPr>
              <w:t>3</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495" w:history="1">
            <w:r w:rsidR="00744A14" w:rsidRPr="007143FF">
              <w:rPr>
                <w:rStyle w:val="Hyperlink"/>
                <w:noProof/>
              </w:rPr>
              <w:t>Background</w:t>
            </w:r>
            <w:r w:rsidR="00744A14">
              <w:rPr>
                <w:noProof/>
                <w:webHidden/>
              </w:rPr>
              <w:tab/>
            </w:r>
            <w:r w:rsidR="00744A14">
              <w:rPr>
                <w:noProof/>
                <w:webHidden/>
              </w:rPr>
              <w:fldChar w:fldCharType="begin"/>
            </w:r>
            <w:r w:rsidR="00744A14">
              <w:rPr>
                <w:noProof/>
                <w:webHidden/>
              </w:rPr>
              <w:instrText xml:space="preserve"> PAGEREF _Toc118719495 \h </w:instrText>
            </w:r>
            <w:r w:rsidR="00744A14">
              <w:rPr>
                <w:noProof/>
                <w:webHidden/>
              </w:rPr>
            </w:r>
            <w:r w:rsidR="00744A14">
              <w:rPr>
                <w:noProof/>
                <w:webHidden/>
              </w:rPr>
              <w:fldChar w:fldCharType="separate"/>
            </w:r>
            <w:r w:rsidR="0085755C">
              <w:rPr>
                <w:noProof/>
                <w:webHidden/>
              </w:rPr>
              <w:t>4</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496" w:history="1">
            <w:r w:rsidR="00744A14" w:rsidRPr="007143FF">
              <w:rPr>
                <w:rStyle w:val="Hyperlink"/>
                <w:noProof/>
              </w:rPr>
              <w:t>Context</w:t>
            </w:r>
            <w:r w:rsidR="00744A14">
              <w:rPr>
                <w:noProof/>
                <w:webHidden/>
              </w:rPr>
              <w:tab/>
            </w:r>
            <w:r w:rsidR="00744A14">
              <w:rPr>
                <w:noProof/>
                <w:webHidden/>
              </w:rPr>
              <w:fldChar w:fldCharType="begin"/>
            </w:r>
            <w:r w:rsidR="00744A14">
              <w:rPr>
                <w:noProof/>
                <w:webHidden/>
              </w:rPr>
              <w:instrText xml:space="preserve"> PAGEREF _Toc118719496 \h </w:instrText>
            </w:r>
            <w:r w:rsidR="00744A14">
              <w:rPr>
                <w:noProof/>
                <w:webHidden/>
              </w:rPr>
            </w:r>
            <w:r w:rsidR="00744A14">
              <w:rPr>
                <w:noProof/>
                <w:webHidden/>
              </w:rPr>
              <w:fldChar w:fldCharType="separate"/>
            </w:r>
            <w:r w:rsidR="0085755C">
              <w:rPr>
                <w:noProof/>
                <w:webHidden/>
              </w:rPr>
              <w:t>4</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497" w:history="1">
            <w:r w:rsidR="00744A14" w:rsidRPr="007143FF">
              <w:rPr>
                <w:rStyle w:val="Hyperlink"/>
                <w:noProof/>
              </w:rPr>
              <w:t>Call for applications</w:t>
            </w:r>
            <w:r w:rsidR="00744A14">
              <w:rPr>
                <w:noProof/>
                <w:webHidden/>
              </w:rPr>
              <w:tab/>
            </w:r>
            <w:r w:rsidR="00744A14">
              <w:rPr>
                <w:noProof/>
                <w:webHidden/>
              </w:rPr>
              <w:fldChar w:fldCharType="begin"/>
            </w:r>
            <w:r w:rsidR="00744A14">
              <w:rPr>
                <w:noProof/>
                <w:webHidden/>
              </w:rPr>
              <w:instrText xml:space="preserve"> PAGEREF _Toc118719497 \h </w:instrText>
            </w:r>
            <w:r w:rsidR="00744A14">
              <w:rPr>
                <w:noProof/>
                <w:webHidden/>
              </w:rPr>
            </w:r>
            <w:r w:rsidR="00744A14">
              <w:rPr>
                <w:noProof/>
                <w:webHidden/>
              </w:rPr>
              <w:fldChar w:fldCharType="separate"/>
            </w:r>
            <w:r w:rsidR="0085755C">
              <w:rPr>
                <w:noProof/>
                <w:webHidden/>
              </w:rPr>
              <w:t>5</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498" w:history="1">
            <w:r w:rsidR="00744A14" w:rsidRPr="007143FF">
              <w:rPr>
                <w:rStyle w:val="Hyperlink"/>
                <w:noProof/>
              </w:rPr>
              <w:t>Funding programmes</w:t>
            </w:r>
            <w:r w:rsidR="00744A14">
              <w:rPr>
                <w:noProof/>
                <w:webHidden/>
              </w:rPr>
              <w:tab/>
            </w:r>
            <w:r w:rsidR="00744A14">
              <w:rPr>
                <w:noProof/>
                <w:webHidden/>
              </w:rPr>
              <w:fldChar w:fldCharType="begin"/>
            </w:r>
            <w:r w:rsidR="00744A14">
              <w:rPr>
                <w:noProof/>
                <w:webHidden/>
              </w:rPr>
              <w:instrText xml:space="preserve"> PAGEREF _Toc118719498 \h </w:instrText>
            </w:r>
            <w:r w:rsidR="00744A14">
              <w:rPr>
                <w:noProof/>
                <w:webHidden/>
              </w:rPr>
            </w:r>
            <w:r w:rsidR="00744A14">
              <w:rPr>
                <w:noProof/>
                <w:webHidden/>
              </w:rPr>
              <w:fldChar w:fldCharType="separate"/>
            </w:r>
            <w:r w:rsidR="0085755C">
              <w:rPr>
                <w:noProof/>
                <w:webHidden/>
              </w:rPr>
              <w:t>5</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499" w:history="1">
            <w:r w:rsidR="00744A14" w:rsidRPr="007143FF">
              <w:rPr>
                <w:rStyle w:val="Hyperlink"/>
                <w:noProof/>
              </w:rPr>
              <w:t>Funding Priorities</w:t>
            </w:r>
            <w:r w:rsidR="00744A14">
              <w:rPr>
                <w:noProof/>
                <w:webHidden/>
              </w:rPr>
              <w:tab/>
            </w:r>
            <w:r w:rsidR="00744A14">
              <w:rPr>
                <w:noProof/>
                <w:webHidden/>
              </w:rPr>
              <w:fldChar w:fldCharType="begin"/>
            </w:r>
            <w:r w:rsidR="00744A14">
              <w:rPr>
                <w:noProof/>
                <w:webHidden/>
              </w:rPr>
              <w:instrText xml:space="preserve"> PAGEREF _Toc118719499 \h </w:instrText>
            </w:r>
            <w:r w:rsidR="00744A14">
              <w:rPr>
                <w:noProof/>
                <w:webHidden/>
              </w:rPr>
            </w:r>
            <w:r w:rsidR="00744A14">
              <w:rPr>
                <w:noProof/>
                <w:webHidden/>
              </w:rPr>
              <w:fldChar w:fldCharType="separate"/>
            </w:r>
            <w:r w:rsidR="0085755C">
              <w:rPr>
                <w:noProof/>
                <w:webHidden/>
              </w:rPr>
              <w:t>6</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500" w:history="1">
            <w:r w:rsidR="00744A14" w:rsidRPr="007143FF">
              <w:rPr>
                <w:rStyle w:val="Hyperlink"/>
                <w:rFonts w:eastAsia="Calibri"/>
                <w:noProof/>
              </w:rPr>
              <w:t>Weighting criteria</w:t>
            </w:r>
            <w:r w:rsidR="00744A14">
              <w:rPr>
                <w:noProof/>
                <w:webHidden/>
              </w:rPr>
              <w:tab/>
            </w:r>
            <w:r w:rsidR="00744A14">
              <w:rPr>
                <w:noProof/>
                <w:webHidden/>
              </w:rPr>
              <w:fldChar w:fldCharType="begin"/>
            </w:r>
            <w:r w:rsidR="00744A14">
              <w:rPr>
                <w:noProof/>
                <w:webHidden/>
              </w:rPr>
              <w:instrText xml:space="preserve"> PAGEREF _Toc118719500 \h </w:instrText>
            </w:r>
            <w:r w:rsidR="00744A14">
              <w:rPr>
                <w:noProof/>
                <w:webHidden/>
              </w:rPr>
            </w:r>
            <w:r w:rsidR="00744A14">
              <w:rPr>
                <w:noProof/>
                <w:webHidden/>
              </w:rPr>
              <w:fldChar w:fldCharType="separate"/>
            </w:r>
            <w:r w:rsidR="0085755C">
              <w:rPr>
                <w:noProof/>
                <w:webHidden/>
              </w:rPr>
              <w:t>8</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501" w:history="1">
            <w:r w:rsidR="00744A14" w:rsidRPr="007143FF">
              <w:rPr>
                <w:rStyle w:val="Hyperlink"/>
                <w:noProof/>
              </w:rPr>
              <w:t>Eligibility</w:t>
            </w:r>
            <w:r w:rsidR="00744A14">
              <w:rPr>
                <w:noProof/>
                <w:webHidden/>
              </w:rPr>
              <w:tab/>
            </w:r>
            <w:r w:rsidR="00744A14">
              <w:rPr>
                <w:noProof/>
                <w:webHidden/>
              </w:rPr>
              <w:fldChar w:fldCharType="begin"/>
            </w:r>
            <w:r w:rsidR="00744A14">
              <w:rPr>
                <w:noProof/>
                <w:webHidden/>
              </w:rPr>
              <w:instrText xml:space="preserve"> PAGEREF _Toc118719501 \h </w:instrText>
            </w:r>
            <w:r w:rsidR="00744A14">
              <w:rPr>
                <w:noProof/>
                <w:webHidden/>
              </w:rPr>
            </w:r>
            <w:r w:rsidR="00744A14">
              <w:rPr>
                <w:noProof/>
                <w:webHidden/>
              </w:rPr>
              <w:fldChar w:fldCharType="separate"/>
            </w:r>
            <w:r w:rsidR="0085755C">
              <w:rPr>
                <w:noProof/>
                <w:webHidden/>
              </w:rPr>
              <w:t>9</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502" w:history="1">
            <w:r w:rsidR="00744A14" w:rsidRPr="007143FF">
              <w:rPr>
                <w:rStyle w:val="Hyperlink"/>
                <w:noProof/>
              </w:rPr>
              <w:t>How to apply and funding timelines</w:t>
            </w:r>
            <w:r w:rsidR="00744A14">
              <w:rPr>
                <w:noProof/>
                <w:webHidden/>
              </w:rPr>
              <w:tab/>
            </w:r>
            <w:r w:rsidR="00744A14">
              <w:rPr>
                <w:noProof/>
                <w:webHidden/>
              </w:rPr>
              <w:fldChar w:fldCharType="begin"/>
            </w:r>
            <w:r w:rsidR="00744A14">
              <w:rPr>
                <w:noProof/>
                <w:webHidden/>
              </w:rPr>
              <w:instrText xml:space="preserve"> PAGEREF _Toc118719502 \h </w:instrText>
            </w:r>
            <w:r w:rsidR="00744A14">
              <w:rPr>
                <w:noProof/>
                <w:webHidden/>
              </w:rPr>
            </w:r>
            <w:r w:rsidR="00744A14">
              <w:rPr>
                <w:noProof/>
                <w:webHidden/>
              </w:rPr>
              <w:fldChar w:fldCharType="separate"/>
            </w:r>
            <w:r w:rsidR="0085755C">
              <w:rPr>
                <w:noProof/>
                <w:webHidden/>
              </w:rPr>
              <w:t>11</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503" w:history="1">
            <w:r w:rsidR="00744A14" w:rsidRPr="007143FF">
              <w:rPr>
                <w:rStyle w:val="Hyperlink"/>
                <w:noProof/>
              </w:rPr>
              <w:t>Reporting requirements</w:t>
            </w:r>
            <w:r w:rsidR="00744A14">
              <w:rPr>
                <w:noProof/>
                <w:webHidden/>
              </w:rPr>
              <w:tab/>
            </w:r>
            <w:r w:rsidR="00744A14">
              <w:rPr>
                <w:noProof/>
                <w:webHidden/>
              </w:rPr>
              <w:fldChar w:fldCharType="begin"/>
            </w:r>
            <w:r w:rsidR="00744A14">
              <w:rPr>
                <w:noProof/>
                <w:webHidden/>
              </w:rPr>
              <w:instrText xml:space="preserve"> PAGEREF _Toc118719503 \h </w:instrText>
            </w:r>
            <w:r w:rsidR="00744A14">
              <w:rPr>
                <w:noProof/>
                <w:webHidden/>
              </w:rPr>
            </w:r>
            <w:r w:rsidR="00744A14">
              <w:rPr>
                <w:noProof/>
                <w:webHidden/>
              </w:rPr>
              <w:fldChar w:fldCharType="separate"/>
            </w:r>
            <w:r w:rsidR="0085755C">
              <w:rPr>
                <w:noProof/>
                <w:webHidden/>
              </w:rPr>
              <w:t>11</w:t>
            </w:r>
            <w:r w:rsidR="00744A14">
              <w:rPr>
                <w:noProof/>
                <w:webHidden/>
              </w:rPr>
              <w:fldChar w:fldCharType="end"/>
            </w:r>
          </w:hyperlink>
        </w:p>
        <w:p w:rsidR="00744A14" w:rsidRDefault="00E361A6">
          <w:pPr>
            <w:pStyle w:val="TOC1"/>
            <w:tabs>
              <w:tab w:val="right" w:leader="dot" w:pos="9016"/>
            </w:tabs>
            <w:rPr>
              <w:rFonts w:asciiTheme="minorHAnsi" w:eastAsiaTheme="minorEastAsia" w:hAnsiTheme="minorHAnsi"/>
              <w:noProof/>
              <w:lang w:eastAsia="en-GB"/>
            </w:rPr>
          </w:pPr>
          <w:hyperlink w:anchor="_Toc118719504" w:history="1">
            <w:r w:rsidR="00744A14" w:rsidRPr="007143FF">
              <w:rPr>
                <w:rStyle w:val="Hyperlink"/>
                <w:noProof/>
              </w:rPr>
              <w:t>Selection Process</w:t>
            </w:r>
            <w:r w:rsidR="00744A14">
              <w:rPr>
                <w:noProof/>
                <w:webHidden/>
              </w:rPr>
              <w:tab/>
            </w:r>
            <w:r w:rsidR="00744A14">
              <w:rPr>
                <w:noProof/>
                <w:webHidden/>
              </w:rPr>
              <w:fldChar w:fldCharType="begin"/>
            </w:r>
            <w:r w:rsidR="00744A14">
              <w:rPr>
                <w:noProof/>
                <w:webHidden/>
              </w:rPr>
              <w:instrText xml:space="preserve"> PAGEREF _Toc118719504 \h </w:instrText>
            </w:r>
            <w:r w:rsidR="00744A14">
              <w:rPr>
                <w:noProof/>
                <w:webHidden/>
              </w:rPr>
            </w:r>
            <w:r w:rsidR="00744A14">
              <w:rPr>
                <w:noProof/>
                <w:webHidden/>
              </w:rPr>
              <w:fldChar w:fldCharType="separate"/>
            </w:r>
            <w:r w:rsidR="0085755C">
              <w:rPr>
                <w:noProof/>
                <w:webHidden/>
              </w:rPr>
              <w:t>12</w:t>
            </w:r>
            <w:r w:rsidR="00744A14">
              <w:rPr>
                <w:noProof/>
                <w:webHidden/>
              </w:rPr>
              <w:fldChar w:fldCharType="end"/>
            </w:r>
          </w:hyperlink>
        </w:p>
        <w:p w:rsidR="00E73529" w:rsidRPr="00744A14" w:rsidRDefault="00744A14" w:rsidP="00FA7F2C">
          <w:r>
            <w:rPr>
              <w:b/>
              <w:bCs/>
              <w:noProof/>
            </w:rPr>
            <w:fldChar w:fldCharType="end"/>
          </w:r>
        </w:p>
      </w:sdtContent>
    </w:sdt>
    <w:p w:rsidR="00AC0ED2" w:rsidRPr="00801840" w:rsidRDefault="00AC0ED2" w:rsidP="00C00A22">
      <w:pPr>
        <w:pStyle w:val="Heading1"/>
      </w:pPr>
      <w:bookmarkStart w:id="1" w:name="_Toc118717366"/>
      <w:bookmarkStart w:id="2" w:name="_Toc118718643"/>
      <w:bookmarkStart w:id="3" w:name="_Toc118718676"/>
      <w:bookmarkStart w:id="4" w:name="_Toc118719039"/>
      <w:bookmarkStart w:id="5" w:name="_Toc118719493"/>
      <w:r w:rsidRPr="00801840">
        <w:t>What is available</w:t>
      </w:r>
      <w:r w:rsidR="00DE67E1" w:rsidRPr="00801840">
        <w:t xml:space="preserve"> at this funding round</w:t>
      </w:r>
      <w:r w:rsidRPr="00801840">
        <w:t>?</w:t>
      </w:r>
      <w:bookmarkEnd w:id="1"/>
      <w:bookmarkEnd w:id="2"/>
      <w:bookmarkEnd w:id="3"/>
      <w:bookmarkEnd w:id="4"/>
      <w:bookmarkEnd w:id="5"/>
    </w:p>
    <w:p w:rsidR="00903CA0" w:rsidRPr="00647191" w:rsidRDefault="00903CA0" w:rsidP="00FA7F2C">
      <w:pPr>
        <w:rPr>
          <w:rFonts w:cs="Arial"/>
          <w:b/>
          <w:u w:val="single"/>
        </w:rPr>
      </w:pPr>
    </w:p>
    <w:p w:rsidR="008A3B7B" w:rsidRPr="008A3B7B" w:rsidRDefault="008A3B7B" w:rsidP="00FA7F2C">
      <w:pPr>
        <w:rPr>
          <w:rFonts w:cs="Arial"/>
        </w:rPr>
      </w:pPr>
      <w:r>
        <w:rPr>
          <w:rFonts w:cs="Arial"/>
        </w:rPr>
        <w:t>Up to £2</w:t>
      </w:r>
      <w:r w:rsidR="00403B2B">
        <w:rPr>
          <w:rFonts w:cs="Arial"/>
        </w:rPr>
        <w:t>5</w:t>
      </w:r>
      <w:r>
        <w:rPr>
          <w:rFonts w:cs="Arial"/>
        </w:rPr>
        <w:t xml:space="preserve">5,000 of Grants for projects delivered in the voluntary sector that support the transformation of </w:t>
      </w:r>
      <w:r w:rsidR="00DE67E1">
        <w:rPr>
          <w:rFonts w:cs="Arial"/>
        </w:rPr>
        <w:t xml:space="preserve">NHS </w:t>
      </w:r>
      <w:r>
        <w:rPr>
          <w:rFonts w:cs="Arial"/>
        </w:rPr>
        <w:t>community mental health services for adults in Sussex, across two funding programmes:</w:t>
      </w:r>
    </w:p>
    <w:p w:rsidR="008A3B7B" w:rsidRPr="00546C5A" w:rsidRDefault="008A3B7B" w:rsidP="00FA7F2C">
      <w:pPr>
        <w:rPr>
          <w:rFonts w:cs="Arial"/>
        </w:rPr>
      </w:pPr>
    </w:p>
    <w:p w:rsidR="008A3B7B" w:rsidRPr="00931EB0" w:rsidRDefault="008A3B7B" w:rsidP="008A3B7B">
      <w:pPr>
        <w:pStyle w:val="ListParagraph"/>
        <w:numPr>
          <w:ilvl w:val="0"/>
          <w:numId w:val="43"/>
        </w:numPr>
        <w:rPr>
          <w:rFonts w:ascii="Arial" w:hAnsi="Arial" w:cs="Arial"/>
        </w:rPr>
      </w:pPr>
      <w:r w:rsidRPr="00931EB0">
        <w:rPr>
          <w:rFonts w:ascii="Arial" w:hAnsi="Arial" w:cs="Arial"/>
        </w:rPr>
        <w:t>£</w:t>
      </w:r>
      <w:r w:rsidR="00403B2B">
        <w:rPr>
          <w:rFonts w:ascii="Arial" w:hAnsi="Arial" w:cs="Arial"/>
        </w:rPr>
        <w:t>75</w:t>
      </w:r>
      <w:r w:rsidRPr="00931EB0">
        <w:rPr>
          <w:rFonts w:ascii="Arial" w:hAnsi="Arial" w:cs="Arial"/>
        </w:rPr>
        <w:t>,000 for Innovate - grants that support the testing of new work</w:t>
      </w:r>
    </w:p>
    <w:p w:rsidR="008A3B7B" w:rsidRPr="008A3B7B" w:rsidRDefault="008A3B7B" w:rsidP="00931EB0">
      <w:pPr>
        <w:pStyle w:val="ListParagraph"/>
        <w:numPr>
          <w:ilvl w:val="0"/>
          <w:numId w:val="43"/>
        </w:numPr>
        <w:rPr>
          <w:rFonts w:cs="Arial"/>
        </w:rPr>
      </w:pPr>
      <w:r w:rsidRPr="008A3B7B">
        <w:rPr>
          <w:rFonts w:ascii="Arial" w:hAnsi="Arial" w:cs="Arial"/>
        </w:rPr>
        <w:t>£1</w:t>
      </w:r>
      <w:r w:rsidR="00403B2B">
        <w:rPr>
          <w:rFonts w:ascii="Arial" w:hAnsi="Arial" w:cs="Arial"/>
        </w:rPr>
        <w:t>80</w:t>
      </w:r>
      <w:r w:rsidRPr="008A3B7B">
        <w:rPr>
          <w:rFonts w:ascii="Arial" w:hAnsi="Arial" w:cs="Arial"/>
        </w:rPr>
        <w:t xml:space="preserve">,000 for Build - grants that support the growth and scaling up of existing work </w:t>
      </w:r>
    </w:p>
    <w:p w:rsidR="00744A14" w:rsidRDefault="009C3655" w:rsidP="00FA7F2C">
      <w:pPr>
        <w:rPr>
          <w:rFonts w:cs="Arial"/>
          <w:shd w:val="clear" w:color="auto" w:fill="FFFFFF"/>
        </w:rPr>
      </w:pPr>
      <w:r>
        <w:rPr>
          <w:rFonts w:cs="Arial"/>
        </w:rPr>
        <w:t>This is the second round of funding</w:t>
      </w:r>
      <w:r w:rsidR="00744A14">
        <w:rPr>
          <w:rFonts w:cs="Arial"/>
        </w:rPr>
        <w:t>.</w:t>
      </w:r>
      <w:r>
        <w:rPr>
          <w:rFonts w:cs="Arial"/>
        </w:rPr>
        <w:t xml:space="preserve"> During the first round </w:t>
      </w:r>
      <w:r>
        <w:rPr>
          <w:rFonts w:cs="Arial"/>
          <w:shd w:val="clear" w:color="auto" w:fill="FFFFFF"/>
        </w:rPr>
        <w:t xml:space="preserve">a total of 46 applications were received, worth £1,596,585 against a total grants budget of £288,000. From this first round we funded nine organisations who were informed in October. </w:t>
      </w:r>
    </w:p>
    <w:p w:rsidR="00744A14" w:rsidRDefault="00744A14" w:rsidP="00FA7F2C">
      <w:pPr>
        <w:rPr>
          <w:rFonts w:cs="Arial"/>
          <w:shd w:val="clear" w:color="auto" w:fill="FFFFFF"/>
        </w:rPr>
      </w:pPr>
    </w:p>
    <w:p w:rsidR="008A3B7B" w:rsidRPr="00801F6A" w:rsidRDefault="009C3655" w:rsidP="00FA7F2C">
      <w:pPr>
        <w:rPr>
          <w:rFonts w:cs="Arial"/>
          <w:shd w:val="clear" w:color="auto" w:fill="FFFFFF"/>
        </w:rPr>
      </w:pPr>
      <w:r>
        <w:rPr>
          <w:rFonts w:cs="Arial"/>
          <w:shd w:val="clear" w:color="auto" w:fill="FFFFFF"/>
        </w:rPr>
        <w:t xml:space="preserve">As part of the first funding round we included suicide prevention as a funding focus, alongside transformation of community adult mental health services. </w:t>
      </w:r>
      <w:r w:rsidR="00CA5D23">
        <w:rPr>
          <w:rFonts w:cs="Arial"/>
          <w:shd w:val="clear" w:color="auto" w:fill="FFFFFF"/>
        </w:rPr>
        <w:t xml:space="preserve">Due to the high </w:t>
      </w:r>
      <w:r w:rsidR="00801F6A">
        <w:rPr>
          <w:rFonts w:cs="Arial"/>
          <w:shd w:val="clear" w:color="auto" w:fill="FFFFFF"/>
        </w:rPr>
        <w:t>volume of proposals that related to</w:t>
      </w:r>
      <w:r>
        <w:rPr>
          <w:rFonts w:cs="Arial"/>
          <w:shd w:val="clear" w:color="auto" w:fill="FFFFFF"/>
        </w:rPr>
        <w:t xml:space="preserve"> suicide prevention</w:t>
      </w:r>
      <w:r w:rsidR="00801F6A">
        <w:rPr>
          <w:rFonts w:cs="Arial"/>
          <w:shd w:val="clear" w:color="auto" w:fill="FFFFFF"/>
        </w:rPr>
        <w:t>, we have now allocated all</w:t>
      </w:r>
      <w:r>
        <w:rPr>
          <w:rFonts w:cs="Arial"/>
          <w:shd w:val="clear" w:color="auto" w:fill="FFFFFF"/>
        </w:rPr>
        <w:t xml:space="preserve"> funding </w:t>
      </w:r>
      <w:r w:rsidR="00801F6A">
        <w:rPr>
          <w:rFonts w:cs="Arial"/>
          <w:shd w:val="clear" w:color="auto" w:fill="FFFFFF"/>
        </w:rPr>
        <w:t xml:space="preserve">available for suicide prevention projects. This </w:t>
      </w:r>
      <w:r>
        <w:rPr>
          <w:rFonts w:cs="Arial"/>
          <w:shd w:val="clear" w:color="auto" w:fill="FFFFFF"/>
        </w:rPr>
        <w:t xml:space="preserve">second </w:t>
      </w:r>
      <w:r w:rsidR="00801F6A">
        <w:rPr>
          <w:rFonts w:cs="Arial"/>
          <w:shd w:val="clear" w:color="auto" w:fill="FFFFFF"/>
        </w:rPr>
        <w:t xml:space="preserve">funding </w:t>
      </w:r>
      <w:r>
        <w:rPr>
          <w:rFonts w:cs="Arial"/>
          <w:shd w:val="clear" w:color="auto" w:fill="FFFFFF"/>
        </w:rPr>
        <w:t xml:space="preserve">round will focus </w:t>
      </w:r>
      <w:r w:rsidR="00801F6A">
        <w:rPr>
          <w:rFonts w:cs="Arial"/>
          <w:shd w:val="clear" w:color="auto" w:fill="FFFFFF"/>
        </w:rPr>
        <w:t xml:space="preserve">solely </w:t>
      </w:r>
      <w:r>
        <w:rPr>
          <w:rFonts w:cs="Arial"/>
          <w:shd w:val="clear" w:color="auto" w:fill="FFFFFF"/>
        </w:rPr>
        <w:t xml:space="preserve">on transformation of community adult mental health services. </w:t>
      </w:r>
    </w:p>
    <w:p w:rsidR="0085755C" w:rsidRDefault="0085755C">
      <w:pPr>
        <w:rPr>
          <w:rFonts w:cs="Arial"/>
        </w:rPr>
      </w:pPr>
      <w:r>
        <w:rPr>
          <w:rFonts w:cs="Arial"/>
        </w:rPr>
        <w:br w:type="page"/>
      </w:r>
    </w:p>
    <w:p w:rsidR="00DE67E1" w:rsidRDefault="00DE67E1" w:rsidP="00FA7F2C">
      <w:pPr>
        <w:rPr>
          <w:rFonts w:cs="Arial"/>
        </w:rPr>
      </w:pPr>
    </w:p>
    <w:p w:rsidR="00DE67E1" w:rsidRPr="00801840" w:rsidRDefault="00DE67E1" w:rsidP="00744A14">
      <w:pPr>
        <w:pStyle w:val="Heading1"/>
      </w:pPr>
      <w:bookmarkStart w:id="6" w:name="_Toc118717367"/>
      <w:bookmarkStart w:id="7" w:name="_Toc118718644"/>
      <w:bookmarkStart w:id="8" w:name="_Toc118718677"/>
      <w:bookmarkStart w:id="9" w:name="_Toc118719040"/>
      <w:bookmarkStart w:id="10" w:name="_Toc118719494"/>
      <w:r w:rsidRPr="00801840">
        <w:t>Introduction</w:t>
      </w:r>
      <w:bookmarkEnd w:id="6"/>
      <w:bookmarkEnd w:id="7"/>
      <w:bookmarkEnd w:id="8"/>
      <w:bookmarkEnd w:id="9"/>
      <w:bookmarkEnd w:id="10"/>
    </w:p>
    <w:p w:rsidR="00E73529" w:rsidRPr="00E73529" w:rsidRDefault="00E73529" w:rsidP="00E73529"/>
    <w:p w:rsidR="00903CA0" w:rsidRPr="00647191" w:rsidRDefault="00903CA0" w:rsidP="00FA7F2C">
      <w:pPr>
        <w:rPr>
          <w:rFonts w:cs="Arial"/>
          <w:highlight w:val="yellow"/>
        </w:rPr>
      </w:pPr>
      <w:r w:rsidRPr="00647191">
        <w:rPr>
          <w:rFonts w:cs="Arial"/>
        </w:rPr>
        <w:t>The Sussex Health and Care</w:t>
      </w:r>
      <w:r w:rsidR="00541E72" w:rsidRPr="00647191">
        <w:rPr>
          <w:rFonts w:cs="Arial"/>
        </w:rPr>
        <w:t xml:space="preserve"> (SHC)</w:t>
      </w:r>
      <w:r w:rsidRPr="00647191">
        <w:rPr>
          <w:rFonts w:cs="Arial"/>
        </w:rPr>
        <w:t xml:space="preserve"> Mental Health Collaborative have made available a total of £600,000 to fund projects</w:t>
      </w:r>
      <w:r w:rsidR="00541E72" w:rsidRPr="00647191">
        <w:rPr>
          <w:rFonts w:cs="Arial"/>
        </w:rPr>
        <w:t xml:space="preserve">, delivered by VCSE organisations, </w:t>
      </w:r>
      <w:r w:rsidR="00541E72" w:rsidRPr="00647191">
        <w:rPr>
          <w:rFonts w:eastAsia="Calibri" w:cs="Arial"/>
        </w:rPr>
        <w:t>that address the recommendations of the national Suicide Prevention strategy</w:t>
      </w:r>
      <w:r w:rsidR="00541E72" w:rsidRPr="00647191">
        <w:rPr>
          <w:rFonts w:cs="Arial"/>
        </w:rPr>
        <w:t xml:space="preserve"> and support the transformation of community mental health services for adults in Sussex</w:t>
      </w:r>
      <w:r w:rsidR="00647191">
        <w:rPr>
          <w:rFonts w:cs="Arial"/>
        </w:rPr>
        <w:t>.</w:t>
      </w:r>
    </w:p>
    <w:p w:rsidR="00AC0ED2" w:rsidRPr="00647191" w:rsidRDefault="00AC0ED2" w:rsidP="00FA7F2C">
      <w:pPr>
        <w:rPr>
          <w:rFonts w:cs="Arial"/>
          <w:highlight w:val="yellow"/>
        </w:rPr>
      </w:pPr>
    </w:p>
    <w:p w:rsidR="00EC5C59" w:rsidRDefault="00AC0ED2" w:rsidP="00FA7F2C">
      <w:pPr>
        <w:rPr>
          <w:rFonts w:cs="Arial"/>
        </w:rPr>
      </w:pPr>
      <w:r w:rsidRPr="00647191">
        <w:rPr>
          <w:rFonts w:cs="Arial"/>
        </w:rPr>
        <w:t xml:space="preserve">The funding </w:t>
      </w:r>
      <w:r w:rsidR="00647191">
        <w:rPr>
          <w:rFonts w:cs="Arial"/>
        </w:rPr>
        <w:t>is split between t</w:t>
      </w:r>
      <w:r w:rsidR="004B6CC2">
        <w:rPr>
          <w:rFonts w:cs="Arial"/>
        </w:rPr>
        <w:t>hree</w:t>
      </w:r>
      <w:r w:rsidR="00647191">
        <w:rPr>
          <w:rFonts w:cs="Arial"/>
        </w:rPr>
        <w:t xml:space="preserve"> funding programmes: Innovate</w:t>
      </w:r>
      <w:r w:rsidR="004B6CC2">
        <w:rPr>
          <w:rFonts w:cs="Arial"/>
        </w:rPr>
        <w:t xml:space="preserve">, </w:t>
      </w:r>
      <w:r w:rsidR="00647191">
        <w:rPr>
          <w:rFonts w:cs="Arial"/>
        </w:rPr>
        <w:t>Build</w:t>
      </w:r>
      <w:r w:rsidR="004B6CC2">
        <w:rPr>
          <w:rFonts w:cs="Arial"/>
        </w:rPr>
        <w:t>, and Grow</w:t>
      </w:r>
      <w:r w:rsidR="00647191">
        <w:rPr>
          <w:rFonts w:cs="Arial"/>
        </w:rPr>
        <w:t xml:space="preserve">. </w:t>
      </w:r>
    </w:p>
    <w:p w:rsidR="00EC5C59" w:rsidRDefault="00EC5C59" w:rsidP="00FA7F2C">
      <w:pPr>
        <w:rPr>
          <w:rFonts w:cs="Arial"/>
        </w:rPr>
      </w:pPr>
    </w:p>
    <w:p w:rsidR="00647191" w:rsidRDefault="004B6CC2" w:rsidP="00FA7F2C">
      <w:pPr>
        <w:rPr>
          <w:rFonts w:cs="Arial"/>
        </w:rPr>
      </w:pPr>
      <w:r w:rsidRPr="005250FE">
        <w:rPr>
          <w:rFonts w:cs="Arial"/>
          <w:b/>
        </w:rPr>
        <w:t xml:space="preserve">This call for applications </w:t>
      </w:r>
      <w:r w:rsidR="00585DC8" w:rsidRPr="005250FE">
        <w:rPr>
          <w:rFonts w:cs="Arial"/>
          <w:b/>
        </w:rPr>
        <w:t xml:space="preserve">is only for </w:t>
      </w:r>
      <w:r w:rsidR="0020609C" w:rsidRPr="005250FE">
        <w:rPr>
          <w:rFonts w:cs="Arial"/>
          <w:b/>
        </w:rPr>
        <w:t>projects that support the transformation of adult community mental health services</w:t>
      </w:r>
      <w:r w:rsidR="0020609C">
        <w:rPr>
          <w:rFonts w:cs="Arial"/>
        </w:rPr>
        <w:t xml:space="preserve">. </w:t>
      </w:r>
      <w:r w:rsidR="00DE67E1">
        <w:rPr>
          <w:rFonts w:cs="Arial"/>
        </w:rPr>
        <w:t>All funding to support suicide prevention was allocated at the fund's first round.</w:t>
      </w:r>
    </w:p>
    <w:p w:rsidR="00647191" w:rsidRDefault="00647191" w:rsidP="00FA7F2C">
      <w:pPr>
        <w:rPr>
          <w:rFonts w:cs="Arial"/>
        </w:rPr>
      </w:pPr>
    </w:p>
    <w:p w:rsidR="00AC0ED2" w:rsidRPr="00647191" w:rsidRDefault="00647191" w:rsidP="00FA7F2C">
      <w:pPr>
        <w:rPr>
          <w:rFonts w:cs="Arial"/>
        </w:rPr>
      </w:pPr>
      <w:r>
        <w:rPr>
          <w:rFonts w:cs="Arial"/>
        </w:rPr>
        <w:t xml:space="preserve">The </w:t>
      </w:r>
      <w:r w:rsidR="00DE67E1">
        <w:rPr>
          <w:rFonts w:cs="Arial"/>
        </w:rPr>
        <w:t>grants programme</w:t>
      </w:r>
      <w:r w:rsidR="00AC0ED2" w:rsidRPr="00647191">
        <w:rPr>
          <w:rFonts w:cs="Arial"/>
        </w:rPr>
        <w:t xml:space="preserve"> is being managed by Heads On, the charity for Sussex Partnership NHS Foundation Trust, working on behalf of the </w:t>
      </w:r>
      <w:r w:rsidR="00541E72" w:rsidRPr="00647191">
        <w:rPr>
          <w:rFonts w:cs="Arial"/>
        </w:rPr>
        <w:t>SHC Mental Health Collaborative.</w:t>
      </w:r>
    </w:p>
    <w:p w:rsidR="00AC0ED2" w:rsidRPr="00647191" w:rsidRDefault="00AC0ED2" w:rsidP="00FA7F2C">
      <w:pPr>
        <w:rPr>
          <w:rFonts w:cs="Arial"/>
        </w:rPr>
      </w:pPr>
    </w:p>
    <w:p w:rsidR="00D33B29" w:rsidRPr="00647191" w:rsidRDefault="00AC0ED2" w:rsidP="00FA7F2C">
      <w:pPr>
        <w:rPr>
          <w:rFonts w:cs="Arial"/>
        </w:rPr>
      </w:pPr>
      <w:r w:rsidRPr="00647191">
        <w:rPr>
          <w:rFonts w:cs="Arial"/>
        </w:rPr>
        <w:t>Th</w:t>
      </w:r>
      <w:r w:rsidR="00FD63C0" w:rsidRPr="00647191">
        <w:rPr>
          <w:rFonts w:cs="Arial"/>
        </w:rPr>
        <w:t>is</w:t>
      </w:r>
      <w:r w:rsidRPr="00647191">
        <w:rPr>
          <w:rFonts w:cs="Arial"/>
        </w:rPr>
        <w:t xml:space="preserve"> guidance </w:t>
      </w:r>
      <w:r w:rsidR="00FD63C0" w:rsidRPr="00647191">
        <w:rPr>
          <w:rFonts w:cs="Arial"/>
        </w:rPr>
        <w:t>document</w:t>
      </w:r>
      <w:r w:rsidRPr="00647191">
        <w:rPr>
          <w:rFonts w:cs="Arial"/>
        </w:rPr>
        <w:t xml:space="preserve"> set</w:t>
      </w:r>
      <w:r w:rsidR="003A1C83">
        <w:rPr>
          <w:rFonts w:cs="Arial"/>
        </w:rPr>
        <w:t>s</w:t>
      </w:r>
      <w:r w:rsidRPr="00647191">
        <w:rPr>
          <w:rFonts w:cs="Arial"/>
        </w:rPr>
        <w:t xml:space="preserve"> out the funding available, eligibility </w:t>
      </w:r>
      <w:r w:rsidR="00FD63C0" w:rsidRPr="00647191">
        <w:rPr>
          <w:rFonts w:cs="Arial"/>
        </w:rPr>
        <w:t xml:space="preserve">criteria </w:t>
      </w:r>
      <w:r w:rsidRPr="00647191">
        <w:rPr>
          <w:rFonts w:cs="Arial"/>
        </w:rPr>
        <w:t>and assessment process. Please read them carefully before applying.</w:t>
      </w:r>
    </w:p>
    <w:p w:rsidR="00AC0ED2" w:rsidRPr="00647191" w:rsidRDefault="00AC0ED2" w:rsidP="00FA7F2C">
      <w:pPr>
        <w:rPr>
          <w:rFonts w:cs="Arial"/>
          <w:highlight w:val="yellow"/>
        </w:rPr>
      </w:pPr>
    </w:p>
    <w:p w:rsidR="00AC0ED2" w:rsidRDefault="00AC0ED2" w:rsidP="00FA7F2C">
      <w:pPr>
        <w:rPr>
          <w:rFonts w:cs="Arial"/>
        </w:rPr>
      </w:pPr>
      <w:r w:rsidRPr="002F2F4B">
        <w:rPr>
          <w:rFonts w:cs="Arial"/>
        </w:rPr>
        <w:t xml:space="preserve">If you have any questions please email </w:t>
      </w:r>
      <w:hyperlink r:id="rId10" w:history="1">
        <w:r w:rsidR="002F2F4B" w:rsidRPr="002F2F4B">
          <w:rPr>
            <w:rStyle w:val="Hyperlink"/>
            <w:rFonts w:cs="Arial"/>
          </w:rPr>
          <w:t>GrantsHeadsOn@sussexpartnership.nhs.uk</w:t>
        </w:r>
      </w:hyperlink>
      <w:r w:rsidR="002F2F4B" w:rsidRPr="002F2F4B">
        <w:rPr>
          <w:rFonts w:cs="Arial"/>
        </w:rPr>
        <w:t xml:space="preserve"> </w:t>
      </w:r>
      <w:r w:rsidRPr="00647191">
        <w:rPr>
          <w:rFonts w:cs="Arial"/>
        </w:rPr>
        <w:t xml:space="preserve"> </w:t>
      </w:r>
    </w:p>
    <w:p w:rsidR="00D33B29" w:rsidRDefault="00D33B29" w:rsidP="00FA7F2C">
      <w:pPr>
        <w:rPr>
          <w:rFonts w:cs="Arial"/>
        </w:rPr>
      </w:pPr>
    </w:p>
    <w:p w:rsidR="00D33B29" w:rsidRPr="00647191" w:rsidRDefault="00D33B29" w:rsidP="00FA7F2C">
      <w:pPr>
        <w:rPr>
          <w:rFonts w:cs="Arial"/>
        </w:rPr>
      </w:pPr>
    </w:p>
    <w:p w:rsidR="00D33B29" w:rsidRDefault="00D33B29">
      <w:pPr>
        <w:rPr>
          <w:rFonts w:cs="Arial"/>
          <w:b/>
          <w:u w:val="single"/>
        </w:rPr>
      </w:pPr>
      <w:r>
        <w:rPr>
          <w:rFonts w:cs="Arial"/>
          <w:b/>
          <w:u w:val="single"/>
        </w:rPr>
        <w:br w:type="page"/>
      </w:r>
    </w:p>
    <w:p w:rsidR="00FA7F2C" w:rsidRPr="00801840" w:rsidRDefault="00FA7F2C" w:rsidP="00744A14">
      <w:pPr>
        <w:pStyle w:val="Heading1"/>
      </w:pPr>
      <w:bookmarkStart w:id="11" w:name="_Toc118717368"/>
      <w:bookmarkStart w:id="12" w:name="_Toc118718645"/>
      <w:bookmarkStart w:id="13" w:name="_Toc118718678"/>
      <w:bookmarkStart w:id="14" w:name="_Toc118719041"/>
      <w:bookmarkStart w:id="15" w:name="_Toc118719495"/>
      <w:r w:rsidRPr="00801840">
        <w:lastRenderedPageBreak/>
        <w:t>Background</w:t>
      </w:r>
      <w:bookmarkEnd w:id="11"/>
      <w:bookmarkEnd w:id="12"/>
      <w:bookmarkEnd w:id="13"/>
      <w:bookmarkEnd w:id="14"/>
      <w:bookmarkEnd w:id="15"/>
    </w:p>
    <w:p w:rsidR="000A29DC" w:rsidRPr="00647191" w:rsidRDefault="000A29DC" w:rsidP="00FA7F2C">
      <w:pPr>
        <w:rPr>
          <w:rFonts w:cs="Arial"/>
        </w:rPr>
      </w:pPr>
    </w:p>
    <w:p w:rsidR="00FA7F2C" w:rsidRPr="00647191" w:rsidRDefault="00846983" w:rsidP="00FA7F2C">
      <w:pPr>
        <w:rPr>
          <w:rFonts w:cs="Arial"/>
          <w:highlight w:val="yellow"/>
        </w:rPr>
      </w:pPr>
      <w:r w:rsidRPr="00846983">
        <w:rPr>
          <w:rFonts w:cs="Arial"/>
        </w:rPr>
        <w:t xml:space="preserve">Sussex Health and Care is an Integrated Care System (ICS) which serves a population of more than 1.7 million people and works in partnership across Sussex, as well as within and across </w:t>
      </w:r>
      <w:r w:rsidR="00291099">
        <w:rPr>
          <w:rFonts w:cs="Arial"/>
        </w:rPr>
        <w:t>the</w:t>
      </w:r>
      <w:r w:rsidRPr="00846983">
        <w:rPr>
          <w:rFonts w:cs="Arial"/>
        </w:rPr>
        <w:t xml:space="preserve"> populations of Brighton and Hove, East Sussex and West Sussex.</w:t>
      </w:r>
    </w:p>
    <w:p w:rsidR="00764585" w:rsidRPr="00647191" w:rsidRDefault="00764585" w:rsidP="00FA7F2C">
      <w:pPr>
        <w:rPr>
          <w:rFonts w:cs="Arial"/>
        </w:rPr>
      </w:pPr>
    </w:p>
    <w:p w:rsidR="008971CA" w:rsidRPr="00647191" w:rsidRDefault="008971CA" w:rsidP="008971CA">
      <w:pPr>
        <w:rPr>
          <w:rFonts w:cs="Arial"/>
        </w:rPr>
      </w:pPr>
      <w:r w:rsidRPr="00647191">
        <w:rPr>
          <w:rFonts w:cs="Arial"/>
        </w:rPr>
        <w:t xml:space="preserve">Heads On is Sussex Partnership's official NHS charity, working to enhance NHS services across Sussex. The charity's strategy for 2021-25 is focused on addressing health inequalities across the region with a particular focus on the inequalities faced by people with mental health problems, learning disabilities or neurodivergent conditions. </w:t>
      </w:r>
    </w:p>
    <w:p w:rsidR="008971CA" w:rsidRPr="00647191" w:rsidRDefault="008971CA" w:rsidP="008971CA">
      <w:pPr>
        <w:rPr>
          <w:rFonts w:cs="Arial"/>
        </w:rPr>
      </w:pPr>
    </w:p>
    <w:p w:rsidR="00764585" w:rsidRPr="00647191" w:rsidRDefault="008971CA" w:rsidP="008971CA">
      <w:pPr>
        <w:rPr>
          <w:rFonts w:cs="Arial"/>
        </w:rPr>
      </w:pPr>
      <w:r w:rsidRPr="00647191">
        <w:rPr>
          <w:rFonts w:cs="Arial"/>
        </w:rPr>
        <w:t>As an NHS charity, Heads On fundraises for and delivers projects that will enhance NHS services and runs a range of grant making programmes within the NHS and voluntary sector.</w:t>
      </w:r>
    </w:p>
    <w:p w:rsidR="00FA7F2C" w:rsidRPr="00647191" w:rsidRDefault="00FA7F2C" w:rsidP="00FA7F2C">
      <w:pPr>
        <w:rPr>
          <w:rFonts w:cs="Arial"/>
        </w:rPr>
      </w:pPr>
    </w:p>
    <w:p w:rsidR="001C206F" w:rsidRDefault="001C206F" w:rsidP="00FA7F2C">
      <w:pPr>
        <w:rPr>
          <w:rFonts w:cs="Arial"/>
          <w:b/>
          <w:u w:val="single"/>
        </w:rPr>
      </w:pPr>
    </w:p>
    <w:p w:rsidR="00FA7F2C" w:rsidRPr="00801840" w:rsidRDefault="00C00A22" w:rsidP="00744A14">
      <w:pPr>
        <w:pStyle w:val="Heading1"/>
      </w:pPr>
      <w:bookmarkStart w:id="16" w:name="_Toc118718679"/>
      <w:bookmarkStart w:id="17" w:name="_Toc118719042"/>
      <w:bookmarkStart w:id="18" w:name="_Toc118719496"/>
      <w:r w:rsidRPr="00801840">
        <w:t>Context</w:t>
      </w:r>
      <w:bookmarkEnd w:id="16"/>
      <w:bookmarkEnd w:id="17"/>
      <w:bookmarkEnd w:id="18"/>
      <w:r w:rsidR="00F04680" w:rsidRPr="00801840">
        <w:t xml:space="preserve"> </w:t>
      </w:r>
    </w:p>
    <w:p w:rsidR="00F04680" w:rsidRPr="00647191" w:rsidRDefault="00F04680" w:rsidP="00F04680">
      <w:pPr>
        <w:rPr>
          <w:rFonts w:cs="Arial"/>
        </w:rPr>
      </w:pPr>
    </w:p>
    <w:p w:rsidR="00D666A5" w:rsidRPr="00647191" w:rsidRDefault="00D666A5" w:rsidP="00D666A5">
      <w:pPr>
        <w:rPr>
          <w:rFonts w:cs="Arial"/>
          <w:b/>
        </w:rPr>
      </w:pPr>
      <w:r w:rsidRPr="00647191">
        <w:rPr>
          <w:rFonts w:cs="Arial"/>
          <w:b/>
        </w:rPr>
        <w:t>National Context</w:t>
      </w:r>
    </w:p>
    <w:p w:rsidR="00D666A5" w:rsidRPr="00647191" w:rsidRDefault="00D666A5" w:rsidP="00D666A5">
      <w:pPr>
        <w:rPr>
          <w:rFonts w:cs="Arial"/>
        </w:rPr>
      </w:pPr>
      <w:r w:rsidRPr="00647191">
        <w:rPr>
          <w:rFonts w:cs="Arial"/>
        </w:rPr>
        <w:t>The NHS Long Term Plan (LTP) highlights the need for closer partnership working between the voluntary sector, local government and the NHS to address the wider determinants of health and improve care for people and communities. It recognises the expertise of the voluntary sector in addressing health inequalities for their local populations and the key role the sector will play in moving this work forwards.</w:t>
      </w:r>
    </w:p>
    <w:p w:rsidR="00541E72" w:rsidRPr="00647191" w:rsidRDefault="00541E72" w:rsidP="00D666A5">
      <w:pPr>
        <w:rPr>
          <w:rFonts w:cs="Arial"/>
          <w:color w:val="FF0000"/>
        </w:rPr>
      </w:pPr>
    </w:p>
    <w:p w:rsidR="00D666A5" w:rsidRPr="00647191" w:rsidRDefault="00D666A5" w:rsidP="00D666A5">
      <w:pPr>
        <w:rPr>
          <w:rFonts w:cs="Arial"/>
        </w:rPr>
      </w:pPr>
      <w:r w:rsidRPr="00647191">
        <w:rPr>
          <w:rFonts w:cs="Arial"/>
        </w:rPr>
        <w:t xml:space="preserve">NHS England and NHS Improvement's </w:t>
      </w:r>
      <w:hyperlink r:id="rId11" w:history="1">
        <w:r w:rsidRPr="00647191">
          <w:rPr>
            <w:rStyle w:val="Hyperlink"/>
            <w:rFonts w:cs="Arial"/>
          </w:rPr>
          <w:t>ICS implementation guidance on partnerships with the voluntary, community and social enterprise sector</w:t>
        </w:r>
      </w:hyperlink>
      <w:r w:rsidRPr="00647191">
        <w:rPr>
          <w:rFonts w:cs="Arial"/>
        </w:rPr>
        <w:t xml:space="preserve"> recognises that the sector is key to the creation of successful integrated care systems. It states that "The VCSE sector is a key strategic partner with an important contribution to make in shaping, improving and delivering services, and developing and implementing plans to tackle the wider determinants of health."</w:t>
      </w:r>
    </w:p>
    <w:p w:rsidR="00D666A5" w:rsidRPr="00647191" w:rsidRDefault="00D666A5" w:rsidP="00D666A5">
      <w:pPr>
        <w:rPr>
          <w:rFonts w:cs="Arial"/>
        </w:rPr>
      </w:pPr>
      <w:r w:rsidRPr="00647191">
        <w:rPr>
          <w:rFonts w:cs="Arial"/>
        </w:rPr>
        <w:t>“With its focus on early action, preventative services and wider social value, the sector provides good value for money. It brings insights, voice and assets into partnerships to support health and wellbeing, including expertise in service redesign and delivery, insight into inequalities, and access to volunteers and premises.”</w:t>
      </w:r>
    </w:p>
    <w:p w:rsidR="00764585" w:rsidRPr="00647191" w:rsidRDefault="00764585" w:rsidP="00D666A5">
      <w:pPr>
        <w:rPr>
          <w:rFonts w:cs="Arial"/>
        </w:rPr>
      </w:pPr>
    </w:p>
    <w:p w:rsidR="00D666A5" w:rsidRPr="00647191" w:rsidRDefault="00D666A5" w:rsidP="00D666A5">
      <w:pPr>
        <w:rPr>
          <w:rFonts w:cs="Arial"/>
        </w:rPr>
      </w:pPr>
      <w:r w:rsidRPr="00647191">
        <w:rPr>
          <w:rFonts w:cs="Arial"/>
        </w:rPr>
        <w:t>The NHS Mental Health Implementation Plan (MHIP) 2019/20 – 2023/24 recognises that leadership within the VCSE is key to ensuring that the design and delivery of services is genuinely co-produced. It highlights that the VCSE plays a vital role in the delivery of the LTP. The MHIP urges ICS leads/commissioners to consider the role that grant making can play in engaging VCSE providers in delivery, the scope for innovation and how the VCSE sector can be supported to grow and develop.</w:t>
      </w:r>
    </w:p>
    <w:p w:rsidR="00D666A5" w:rsidRPr="00647191" w:rsidRDefault="00D666A5" w:rsidP="00D666A5">
      <w:pPr>
        <w:rPr>
          <w:rFonts w:cs="Arial"/>
        </w:rPr>
      </w:pPr>
    </w:p>
    <w:p w:rsidR="00D666A5" w:rsidRPr="00647191" w:rsidRDefault="00D666A5" w:rsidP="00D666A5">
      <w:pPr>
        <w:rPr>
          <w:rFonts w:cs="Arial"/>
          <w:b/>
        </w:rPr>
      </w:pPr>
      <w:r w:rsidRPr="00647191">
        <w:rPr>
          <w:rFonts w:cs="Arial"/>
          <w:b/>
        </w:rPr>
        <w:t>Local Need</w:t>
      </w:r>
    </w:p>
    <w:p w:rsidR="00D666A5" w:rsidRDefault="00E2165B" w:rsidP="00D666A5">
      <w:pPr>
        <w:rPr>
          <w:rFonts w:cs="Arial"/>
        </w:rPr>
      </w:pPr>
      <w:r>
        <w:rPr>
          <w:rFonts w:cs="Arial"/>
        </w:rPr>
        <w:t xml:space="preserve">SHC </w:t>
      </w:r>
      <w:r w:rsidR="00D666A5" w:rsidRPr="00647191">
        <w:rPr>
          <w:rFonts w:cs="Arial"/>
        </w:rPr>
        <w:t>Mental Health Collaborative recognises that to achieve the ambitions for an enhanced role in the delivery of mental health services for VSCE partners in Sussex, barriers between the NHS and VCSE need to be broken down and solutions found to enable effective and efficient commissioning of the sector whilst at the same time enabling its growth and development.</w:t>
      </w:r>
    </w:p>
    <w:p w:rsidR="00D33B29" w:rsidRDefault="00D33B29" w:rsidP="00D666A5">
      <w:pPr>
        <w:rPr>
          <w:rFonts w:cs="Arial"/>
        </w:rPr>
      </w:pPr>
    </w:p>
    <w:p w:rsidR="00D33B29" w:rsidRPr="00647191" w:rsidRDefault="00D33B29" w:rsidP="00D666A5">
      <w:pPr>
        <w:rPr>
          <w:rFonts w:cs="Arial"/>
        </w:rPr>
      </w:pPr>
    </w:p>
    <w:p w:rsidR="00D666A5" w:rsidRPr="00647191" w:rsidRDefault="00D666A5" w:rsidP="00D666A5">
      <w:pPr>
        <w:rPr>
          <w:rFonts w:cs="Arial"/>
        </w:rPr>
      </w:pPr>
    </w:p>
    <w:p w:rsidR="00D666A5" w:rsidRPr="00801840" w:rsidRDefault="00642943" w:rsidP="00744A14">
      <w:pPr>
        <w:pStyle w:val="Heading1"/>
      </w:pPr>
      <w:bookmarkStart w:id="19" w:name="_Toc118718680"/>
      <w:bookmarkStart w:id="20" w:name="_Toc118719043"/>
      <w:bookmarkStart w:id="21" w:name="_Toc118719497"/>
      <w:r w:rsidRPr="00801840">
        <w:lastRenderedPageBreak/>
        <w:t>Call for applications</w:t>
      </w:r>
      <w:bookmarkEnd w:id="19"/>
      <w:bookmarkEnd w:id="20"/>
      <w:bookmarkEnd w:id="21"/>
    </w:p>
    <w:p w:rsidR="00801840" w:rsidRPr="00801840" w:rsidRDefault="00801840" w:rsidP="00801840"/>
    <w:p w:rsidR="00642943" w:rsidRPr="00647191" w:rsidRDefault="00D666A5" w:rsidP="00D666A5">
      <w:pPr>
        <w:rPr>
          <w:rFonts w:cs="Arial"/>
        </w:rPr>
      </w:pPr>
      <w:r w:rsidRPr="00647191">
        <w:rPr>
          <w:rFonts w:cs="Arial"/>
        </w:rPr>
        <w:t xml:space="preserve">In response to national recognition of the need to further invest in and develop the VCSE sector in support of healthcare, and specific local recommendations the SHC Mental Health Collaborative </w:t>
      </w:r>
      <w:r w:rsidR="00642943" w:rsidRPr="00647191">
        <w:rPr>
          <w:rFonts w:cs="Arial"/>
        </w:rPr>
        <w:t xml:space="preserve">have agreed to </w:t>
      </w:r>
      <w:r w:rsidRPr="00647191">
        <w:rPr>
          <w:rFonts w:cs="Arial"/>
        </w:rPr>
        <w:t xml:space="preserve">invest </w:t>
      </w:r>
      <w:r w:rsidR="00642943" w:rsidRPr="00647191">
        <w:rPr>
          <w:rFonts w:cs="Arial"/>
        </w:rPr>
        <w:t>£600,000</w:t>
      </w:r>
      <w:r w:rsidRPr="00647191">
        <w:rPr>
          <w:rFonts w:cs="Arial"/>
        </w:rPr>
        <w:t xml:space="preserve"> in a grant making programme to support both mental health service delivery and growth, and development of the sector itself, during the period 2022-2025, with a particular focus on prevention, developing resilience with people and communities and reducing health inequalities. </w:t>
      </w:r>
    </w:p>
    <w:p w:rsidR="00642943" w:rsidRPr="00647191" w:rsidRDefault="00642943" w:rsidP="00D666A5">
      <w:pPr>
        <w:rPr>
          <w:rFonts w:cs="Arial"/>
        </w:rPr>
      </w:pPr>
    </w:p>
    <w:p w:rsidR="00D666A5" w:rsidRDefault="00D666A5" w:rsidP="00D666A5">
      <w:pPr>
        <w:rPr>
          <w:rFonts w:cs="Arial"/>
        </w:rPr>
      </w:pPr>
      <w:r w:rsidRPr="00647191">
        <w:rPr>
          <w:rFonts w:cs="Arial"/>
        </w:rPr>
        <w:t xml:space="preserve">This </w:t>
      </w:r>
      <w:r w:rsidR="00642943" w:rsidRPr="00647191">
        <w:rPr>
          <w:rFonts w:cs="Arial"/>
        </w:rPr>
        <w:t>call for applications provides fu</w:t>
      </w:r>
      <w:r w:rsidRPr="00647191">
        <w:rPr>
          <w:rFonts w:cs="Arial"/>
        </w:rPr>
        <w:t>nding opportunities for the VCSE to deliver both pilot work and build on existing successes, and also see unique infrastructure development support for organisations including focus on those led by minority ethnic communities.</w:t>
      </w:r>
    </w:p>
    <w:p w:rsidR="00931EB0" w:rsidRPr="00647191" w:rsidRDefault="00931EB0" w:rsidP="00D666A5">
      <w:pPr>
        <w:rPr>
          <w:rFonts w:cs="Arial"/>
        </w:rPr>
      </w:pPr>
    </w:p>
    <w:p w:rsidR="00931EB0" w:rsidRPr="00801840" w:rsidRDefault="00931EB0" w:rsidP="00744A14">
      <w:pPr>
        <w:pStyle w:val="Heading1"/>
      </w:pPr>
      <w:bookmarkStart w:id="22" w:name="_Toc118718681"/>
      <w:bookmarkStart w:id="23" w:name="_Toc118719044"/>
      <w:bookmarkStart w:id="24" w:name="_Toc118719498"/>
      <w:r w:rsidRPr="00801840">
        <w:t>Funding programmes</w:t>
      </w:r>
      <w:bookmarkEnd w:id="22"/>
      <w:bookmarkEnd w:id="23"/>
      <w:bookmarkEnd w:id="24"/>
    </w:p>
    <w:p w:rsidR="00931EB0" w:rsidRDefault="00931EB0" w:rsidP="00931EB0">
      <w:pPr>
        <w:rPr>
          <w:rFonts w:cs="Arial"/>
          <w:b/>
          <w:u w:val="single"/>
        </w:rPr>
      </w:pPr>
    </w:p>
    <w:p w:rsidR="00931EB0" w:rsidRPr="00647191" w:rsidRDefault="00931EB0" w:rsidP="00931EB0">
      <w:pPr>
        <w:rPr>
          <w:rFonts w:cs="Arial"/>
        </w:rPr>
      </w:pPr>
      <w:r w:rsidRPr="00647191">
        <w:rPr>
          <w:rFonts w:cs="Arial"/>
          <w:b/>
        </w:rPr>
        <w:t xml:space="preserve">INNOVATE - </w:t>
      </w:r>
      <w:r w:rsidRPr="00647191">
        <w:rPr>
          <w:rFonts w:cs="Arial"/>
        </w:rPr>
        <w:t>this funding stream will provide pilot funding for innovative projects to explore and test new projects and approaches</w:t>
      </w:r>
    </w:p>
    <w:p w:rsidR="00931EB0" w:rsidRPr="00647191" w:rsidRDefault="00931EB0" w:rsidP="00931EB0">
      <w:pPr>
        <w:rPr>
          <w:rFonts w:cs="Arial"/>
        </w:rPr>
      </w:pPr>
    </w:p>
    <w:tbl>
      <w:tblPr>
        <w:tblStyle w:val="TableGrid"/>
        <w:tblpPr w:leftFromText="180" w:rightFromText="180" w:vertAnchor="text" w:horzAnchor="margin" w:tblpY="52"/>
        <w:tblW w:w="5000" w:type="pct"/>
        <w:tblLook w:val="04A0" w:firstRow="1" w:lastRow="0" w:firstColumn="1" w:lastColumn="0" w:noHBand="0" w:noVBand="1"/>
      </w:tblPr>
      <w:tblGrid>
        <w:gridCol w:w="2829"/>
        <w:gridCol w:w="6187"/>
      </w:tblGrid>
      <w:tr w:rsidR="00931EB0" w:rsidRPr="00647191" w:rsidTr="000E5706">
        <w:tc>
          <w:tcPr>
            <w:tcW w:w="1569" w:type="pct"/>
            <w:shd w:val="clear" w:color="auto" w:fill="D9D9D9" w:themeFill="background1" w:themeFillShade="D9"/>
          </w:tcPr>
          <w:p w:rsidR="00931EB0" w:rsidRPr="00647191" w:rsidRDefault="00931EB0" w:rsidP="000E5706">
            <w:pPr>
              <w:rPr>
                <w:rFonts w:ascii="Arial" w:hAnsi="Arial" w:cs="Arial"/>
                <w:b/>
              </w:rPr>
            </w:pPr>
            <w:r w:rsidRPr="00647191">
              <w:rPr>
                <w:rFonts w:ascii="Arial" w:hAnsi="Arial" w:cs="Arial"/>
                <w:b/>
              </w:rPr>
              <w:t xml:space="preserve">TOTAL </w:t>
            </w:r>
          </w:p>
          <w:p w:rsidR="00931EB0" w:rsidRPr="00647191" w:rsidRDefault="00931EB0" w:rsidP="000E5706">
            <w:pPr>
              <w:rPr>
                <w:rFonts w:ascii="Arial" w:hAnsi="Arial" w:cs="Arial"/>
                <w:b/>
              </w:rPr>
            </w:pPr>
            <w:r w:rsidRPr="00647191">
              <w:rPr>
                <w:rFonts w:ascii="Arial" w:hAnsi="Arial" w:cs="Arial"/>
                <w:b/>
              </w:rPr>
              <w:t>Grants Budget</w:t>
            </w:r>
          </w:p>
        </w:tc>
        <w:tc>
          <w:tcPr>
            <w:tcW w:w="3431" w:type="pct"/>
          </w:tcPr>
          <w:p w:rsidR="00931EB0" w:rsidRPr="00E31ADD" w:rsidRDefault="00931EB0" w:rsidP="000E5706">
            <w:pPr>
              <w:rPr>
                <w:rFonts w:ascii="Arial" w:hAnsi="Arial" w:cs="Arial"/>
                <w:b/>
              </w:rPr>
            </w:pPr>
            <w:r>
              <w:rPr>
                <w:rFonts w:ascii="Arial" w:hAnsi="Arial" w:cs="Arial"/>
                <w:b/>
              </w:rPr>
              <w:t xml:space="preserve">Total: </w:t>
            </w:r>
            <w:r w:rsidRPr="00E31ADD">
              <w:rPr>
                <w:rFonts w:ascii="Arial" w:hAnsi="Arial" w:cs="Arial"/>
                <w:b/>
              </w:rPr>
              <w:t>£</w:t>
            </w:r>
            <w:r>
              <w:rPr>
                <w:rFonts w:ascii="Arial" w:hAnsi="Arial" w:cs="Arial"/>
                <w:b/>
              </w:rPr>
              <w:t>75,000</w:t>
            </w:r>
          </w:p>
          <w:p w:rsidR="00931EB0" w:rsidRPr="00647191" w:rsidRDefault="00931EB0" w:rsidP="000E5706">
            <w:pPr>
              <w:rPr>
                <w:rFonts w:ascii="Arial" w:hAnsi="Arial" w:cs="Arial"/>
              </w:rPr>
            </w:pPr>
          </w:p>
        </w:tc>
      </w:tr>
      <w:tr w:rsidR="00931EB0" w:rsidRPr="00647191" w:rsidTr="000E5706">
        <w:tc>
          <w:tcPr>
            <w:tcW w:w="1569" w:type="pct"/>
            <w:shd w:val="clear" w:color="auto" w:fill="D9D9D9" w:themeFill="background1" w:themeFillShade="D9"/>
          </w:tcPr>
          <w:p w:rsidR="00931EB0" w:rsidRPr="00647191" w:rsidRDefault="00931EB0" w:rsidP="000E5706">
            <w:pPr>
              <w:rPr>
                <w:rFonts w:ascii="Arial" w:hAnsi="Arial" w:cs="Arial"/>
                <w:b/>
              </w:rPr>
            </w:pPr>
            <w:r w:rsidRPr="00647191">
              <w:rPr>
                <w:rFonts w:ascii="Arial" w:hAnsi="Arial" w:cs="Arial"/>
                <w:b/>
              </w:rPr>
              <w:t>Minimum Grant Available</w:t>
            </w:r>
          </w:p>
        </w:tc>
        <w:tc>
          <w:tcPr>
            <w:tcW w:w="3431" w:type="pct"/>
          </w:tcPr>
          <w:p w:rsidR="00931EB0" w:rsidRPr="00647191" w:rsidRDefault="00931EB0" w:rsidP="000E5706">
            <w:pPr>
              <w:rPr>
                <w:rFonts w:ascii="Arial" w:hAnsi="Arial" w:cs="Arial"/>
              </w:rPr>
            </w:pPr>
            <w:r w:rsidRPr="00647191">
              <w:rPr>
                <w:rFonts w:ascii="Arial" w:hAnsi="Arial" w:cs="Arial"/>
              </w:rPr>
              <w:t>£5,000</w:t>
            </w:r>
          </w:p>
        </w:tc>
      </w:tr>
      <w:tr w:rsidR="00931EB0" w:rsidRPr="00647191" w:rsidTr="000E5706">
        <w:tc>
          <w:tcPr>
            <w:tcW w:w="1569" w:type="pct"/>
            <w:shd w:val="clear" w:color="auto" w:fill="D9D9D9" w:themeFill="background1" w:themeFillShade="D9"/>
          </w:tcPr>
          <w:p w:rsidR="00931EB0" w:rsidRPr="00647191" w:rsidRDefault="00931EB0" w:rsidP="000E5706">
            <w:pPr>
              <w:rPr>
                <w:rFonts w:ascii="Arial" w:hAnsi="Arial" w:cs="Arial"/>
                <w:b/>
              </w:rPr>
            </w:pPr>
            <w:r w:rsidRPr="00647191">
              <w:rPr>
                <w:rFonts w:ascii="Arial" w:hAnsi="Arial" w:cs="Arial"/>
                <w:b/>
              </w:rPr>
              <w:t>Maximum Grant Available</w:t>
            </w:r>
          </w:p>
        </w:tc>
        <w:tc>
          <w:tcPr>
            <w:tcW w:w="3431" w:type="pct"/>
          </w:tcPr>
          <w:p w:rsidR="00931EB0" w:rsidRPr="00647191" w:rsidRDefault="00931EB0" w:rsidP="000E5706">
            <w:pPr>
              <w:rPr>
                <w:rFonts w:ascii="Arial" w:hAnsi="Arial" w:cs="Arial"/>
              </w:rPr>
            </w:pPr>
            <w:r w:rsidRPr="00647191">
              <w:rPr>
                <w:rFonts w:ascii="Arial" w:hAnsi="Arial" w:cs="Arial"/>
              </w:rPr>
              <w:t xml:space="preserve">£15,000 </w:t>
            </w:r>
          </w:p>
        </w:tc>
      </w:tr>
      <w:tr w:rsidR="00931EB0" w:rsidRPr="00647191" w:rsidTr="000E5706">
        <w:tc>
          <w:tcPr>
            <w:tcW w:w="1569" w:type="pct"/>
            <w:shd w:val="clear" w:color="auto" w:fill="D9D9D9" w:themeFill="background1" w:themeFillShade="D9"/>
          </w:tcPr>
          <w:p w:rsidR="00931EB0" w:rsidRDefault="00931EB0" w:rsidP="000E5706">
            <w:pPr>
              <w:rPr>
                <w:rFonts w:ascii="Arial" w:hAnsi="Arial" w:cs="Arial"/>
                <w:b/>
              </w:rPr>
            </w:pPr>
            <w:r w:rsidRPr="00647191">
              <w:rPr>
                <w:rFonts w:ascii="Arial" w:hAnsi="Arial" w:cs="Arial"/>
                <w:b/>
              </w:rPr>
              <w:t xml:space="preserve">Funding Deadlines </w:t>
            </w:r>
          </w:p>
          <w:p w:rsidR="00931EB0" w:rsidRPr="00CF0EFB" w:rsidRDefault="00931EB0" w:rsidP="000E5706">
            <w:pPr>
              <w:rPr>
                <w:rFonts w:ascii="Arial" w:hAnsi="Arial" w:cs="Arial"/>
              </w:rPr>
            </w:pPr>
            <w:r w:rsidRPr="00CF0EFB">
              <w:rPr>
                <w:rFonts w:ascii="Arial" w:hAnsi="Arial" w:cs="Arial"/>
              </w:rPr>
              <w:t>Total grants budget split over two deadlines</w:t>
            </w:r>
          </w:p>
        </w:tc>
        <w:tc>
          <w:tcPr>
            <w:tcW w:w="3431" w:type="pct"/>
          </w:tcPr>
          <w:p w:rsidR="00931EB0" w:rsidRPr="00647191" w:rsidRDefault="000C2CCB" w:rsidP="000E5706">
            <w:pPr>
              <w:rPr>
                <w:rFonts w:ascii="Arial" w:hAnsi="Arial" w:cs="Arial"/>
              </w:rPr>
            </w:pPr>
            <w:r>
              <w:rPr>
                <w:rFonts w:ascii="Arial" w:hAnsi="Arial" w:cs="Arial"/>
              </w:rPr>
              <w:t xml:space="preserve">Noon, Tuesday </w:t>
            </w:r>
            <w:r w:rsidR="005E6CB3">
              <w:rPr>
                <w:rFonts w:ascii="Arial" w:hAnsi="Arial" w:cs="Arial"/>
              </w:rPr>
              <w:t>31st</w:t>
            </w:r>
            <w:r>
              <w:rPr>
                <w:rFonts w:ascii="Arial" w:hAnsi="Arial" w:cs="Arial"/>
              </w:rPr>
              <w:t xml:space="preserve"> </w:t>
            </w:r>
            <w:r w:rsidR="005E6CB3">
              <w:rPr>
                <w:rFonts w:ascii="Arial" w:hAnsi="Arial" w:cs="Arial"/>
              </w:rPr>
              <w:t>January 2023</w:t>
            </w:r>
          </w:p>
          <w:p w:rsidR="00931EB0" w:rsidRPr="00647191" w:rsidRDefault="00931EB0" w:rsidP="000E5706">
            <w:pPr>
              <w:rPr>
                <w:rFonts w:ascii="Arial" w:hAnsi="Arial" w:cs="Arial"/>
              </w:rPr>
            </w:pPr>
          </w:p>
        </w:tc>
      </w:tr>
      <w:tr w:rsidR="00931EB0" w:rsidRPr="00647191" w:rsidTr="000E5706">
        <w:tc>
          <w:tcPr>
            <w:tcW w:w="1569" w:type="pct"/>
            <w:shd w:val="clear" w:color="auto" w:fill="D9D9D9" w:themeFill="background1" w:themeFillShade="D9"/>
          </w:tcPr>
          <w:p w:rsidR="00931EB0" w:rsidRPr="00647191" w:rsidRDefault="00931EB0" w:rsidP="000E5706">
            <w:pPr>
              <w:rPr>
                <w:rFonts w:ascii="Arial" w:hAnsi="Arial" w:cs="Arial"/>
                <w:b/>
              </w:rPr>
            </w:pPr>
            <w:r w:rsidRPr="00647191">
              <w:rPr>
                <w:rFonts w:ascii="Arial" w:hAnsi="Arial" w:cs="Arial"/>
                <w:b/>
              </w:rPr>
              <w:t>Delivery period</w:t>
            </w:r>
          </w:p>
        </w:tc>
        <w:tc>
          <w:tcPr>
            <w:tcW w:w="3431" w:type="pct"/>
          </w:tcPr>
          <w:p w:rsidR="00931EB0" w:rsidRPr="00647191" w:rsidRDefault="00931EB0" w:rsidP="000E5706">
            <w:pPr>
              <w:rPr>
                <w:rFonts w:ascii="Arial" w:hAnsi="Arial" w:cs="Arial"/>
              </w:rPr>
            </w:pPr>
            <w:r w:rsidRPr="00647191">
              <w:rPr>
                <w:rFonts w:ascii="Arial" w:hAnsi="Arial" w:cs="Arial"/>
              </w:rPr>
              <w:t xml:space="preserve">Projects must complete, including evaluation, within 18 months of a funding decision. </w:t>
            </w:r>
          </w:p>
          <w:p w:rsidR="00931EB0" w:rsidRPr="00647191" w:rsidRDefault="00931EB0" w:rsidP="000E5706">
            <w:pPr>
              <w:rPr>
                <w:rFonts w:ascii="Arial" w:hAnsi="Arial" w:cs="Arial"/>
              </w:rPr>
            </w:pPr>
          </w:p>
          <w:p w:rsidR="00931EB0" w:rsidRPr="00647191" w:rsidRDefault="00931EB0" w:rsidP="000E5706">
            <w:pPr>
              <w:rPr>
                <w:rFonts w:ascii="Arial" w:hAnsi="Arial" w:cs="Arial"/>
              </w:rPr>
            </w:pPr>
            <w:r w:rsidRPr="00647191">
              <w:rPr>
                <w:rFonts w:ascii="Arial" w:hAnsi="Arial" w:cs="Arial"/>
              </w:rPr>
              <w:t>Final projects to complete Summer 2024</w:t>
            </w:r>
          </w:p>
        </w:tc>
      </w:tr>
    </w:tbl>
    <w:p w:rsidR="001C206F" w:rsidRDefault="001C206F" w:rsidP="00524621">
      <w:pPr>
        <w:rPr>
          <w:rFonts w:cs="Arial"/>
          <w:b/>
        </w:rPr>
      </w:pPr>
    </w:p>
    <w:p w:rsidR="00541E72" w:rsidRPr="00647191" w:rsidRDefault="00541E72" w:rsidP="00524621">
      <w:pPr>
        <w:rPr>
          <w:rFonts w:cs="Arial"/>
        </w:rPr>
      </w:pPr>
      <w:r w:rsidRPr="00647191">
        <w:rPr>
          <w:rFonts w:cs="Arial"/>
          <w:b/>
        </w:rPr>
        <w:t>B</w:t>
      </w:r>
      <w:r w:rsidR="00524621" w:rsidRPr="00647191">
        <w:rPr>
          <w:rFonts w:cs="Arial"/>
          <w:b/>
        </w:rPr>
        <w:t>UILD</w:t>
      </w:r>
      <w:r w:rsidR="00642943" w:rsidRPr="00647191">
        <w:rPr>
          <w:rFonts w:cs="Arial"/>
          <w:b/>
        </w:rPr>
        <w:t xml:space="preserve"> </w:t>
      </w:r>
      <w:r w:rsidR="00524621" w:rsidRPr="00647191">
        <w:rPr>
          <w:rFonts w:cs="Arial"/>
          <w:b/>
        </w:rPr>
        <w:t xml:space="preserve">- </w:t>
      </w:r>
      <w:r w:rsidR="00F21157" w:rsidRPr="00647191">
        <w:rPr>
          <w:rFonts w:cs="Arial"/>
        </w:rPr>
        <w:t>this funding stream will provide scale-up f</w:t>
      </w:r>
      <w:r w:rsidR="00642943" w:rsidRPr="00647191">
        <w:rPr>
          <w:rFonts w:cs="Arial"/>
        </w:rPr>
        <w:t xml:space="preserve">unding to build on existing work and previous successes </w:t>
      </w:r>
    </w:p>
    <w:p w:rsidR="00524621" w:rsidRPr="00647191" w:rsidRDefault="00524621" w:rsidP="00524621">
      <w:pPr>
        <w:rPr>
          <w:rFonts w:cs="Arial"/>
        </w:rPr>
      </w:pPr>
    </w:p>
    <w:tbl>
      <w:tblPr>
        <w:tblStyle w:val="TableGrid"/>
        <w:tblW w:w="5000" w:type="pct"/>
        <w:tblLook w:val="04A0" w:firstRow="1" w:lastRow="0" w:firstColumn="1" w:lastColumn="0" w:noHBand="0" w:noVBand="1"/>
      </w:tblPr>
      <w:tblGrid>
        <w:gridCol w:w="2827"/>
        <w:gridCol w:w="6189"/>
      </w:tblGrid>
      <w:tr w:rsidR="00524621" w:rsidRPr="00647191" w:rsidTr="00524621">
        <w:tc>
          <w:tcPr>
            <w:tcW w:w="1568" w:type="pct"/>
            <w:shd w:val="clear" w:color="auto" w:fill="BFBFBF" w:themeFill="background1" w:themeFillShade="BF"/>
          </w:tcPr>
          <w:p w:rsidR="00524621" w:rsidRPr="00647191" w:rsidRDefault="00524621" w:rsidP="00524621">
            <w:pPr>
              <w:rPr>
                <w:rFonts w:ascii="Arial" w:hAnsi="Arial" w:cs="Arial"/>
                <w:b/>
              </w:rPr>
            </w:pPr>
            <w:r w:rsidRPr="00647191">
              <w:rPr>
                <w:rFonts w:ascii="Arial" w:hAnsi="Arial" w:cs="Arial"/>
                <w:b/>
              </w:rPr>
              <w:t xml:space="preserve">TOTAL </w:t>
            </w:r>
          </w:p>
          <w:p w:rsidR="00524621" w:rsidRPr="00647191" w:rsidRDefault="00524621" w:rsidP="00524621">
            <w:pPr>
              <w:rPr>
                <w:rFonts w:ascii="Arial" w:hAnsi="Arial" w:cs="Arial"/>
                <w:b/>
              </w:rPr>
            </w:pPr>
            <w:r w:rsidRPr="00647191">
              <w:rPr>
                <w:rFonts w:ascii="Arial" w:hAnsi="Arial" w:cs="Arial"/>
                <w:b/>
              </w:rPr>
              <w:t>Grants Budget</w:t>
            </w:r>
          </w:p>
        </w:tc>
        <w:tc>
          <w:tcPr>
            <w:tcW w:w="3432" w:type="pct"/>
          </w:tcPr>
          <w:p w:rsidR="00A220CF" w:rsidRPr="00A220CF" w:rsidRDefault="0020159F" w:rsidP="00A220CF">
            <w:pPr>
              <w:rPr>
                <w:rFonts w:ascii="Arial" w:hAnsi="Arial" w:cs="Arial"/>
                <w:b/>
              </w:rPr>
            </w:pPr>
            <w:r w:rsidRPr="0020159F">
              <w:rPr>
                <w:rFonts w:ascii="Arial" w:hAnsi="Arial" w:cs="Arial"/>
                <w:b/>
              </w:rPr>
              <w:t xml:space="preserve">Total: </w:t>
            </w:r>
            <w:r w:rsidR="00524621" w:rsidRPr="0020159F">
              <w:rPr>
                <w:rFonts w:ascii="Arial" w:hAnsi="Arial" w:cs="Arial"/>
                <w:b/>
              </w:rPr>
              <w:t>£</w:t>
            </w:r>
            <w:r w:rsidR="00AB1A30">
              <w:rPr>
                <w:rFonts w:ascii="Arial" w:hAnsi="Arial" w:cs="Arial"/>
                <w:b/>
              </w:rPr>
              <w:t>1</w:t>
            </w:r>
            <w:r w:rsidR="002C7B6F">
              <w:rPr>
                <w:rFonts w:ascii="Arial" w:hAnsi="Arial" w:cs="Arial"/>
                <w:b/>
              </w:rPr>
              <w:t>80</w:t>
            </w:r>
            <w:r w:rsidR="00524621" w:rsidRPr="0020159F">
              <w:rPr>
                <w:rFonts w:ascii="Arial" w:hAnsi="Arial" w:cs="Arial"/>
                <w:b/>
              </w:rPr>
              <w:t>,000</w:t>
            </w:r>
          </w:p>
          <w:p w:rsidR="0020159F" w:rsidRPr="00647191" w:rsidRDefault="0020159F" w:rsidP="00524621">
            <w:pPr>
              <w:rPr>
                <w:rFonts w:ascii="Arial" w:hAnsi="Arial" w:cs="Arial"/>
              </w:rPr>
            </w:pPr>
          </w:p>
        </w:tc>
      </w:tr>
      <w:tr w:rsidR="00524621" w:rsidRPr="00647191" w:rsidTr="00524621">
        <w:tc>
          <w:tcPr>
            <w:tcW w:w="1568" w:type="pct"/>
            <w:shd w:val="clear" w:color="auto" w:fill="BFBFBF" w:themeFill="background1" w:themeFillShade="BF"/>
          </w:tcPr>
          <w:p w:rsidR="00524621" w:rsidRPr="00647191" w:rsidRDefault="00524621" w:rsidP="00524621">
            <w:pPr>
              <w:rPr>
                <w:rFonts w:ascii="Arial" w:hAnsi="Arial" w:cs="Arial"/>
                <w:b/>
              </w:rPr>
            </w:pPr>
            <w:r w:rsidRPr="00647191">
              <w:rPr>
                <w:rFonts w:ascii="Arial" w:hAnsi="Arial" w:cs="Arial"/>
                <w:b/>
              </w:rPr>
              <w:t>Minimum Grant Available</w:t>
            </w:r>
          </w:p>
        </w:tc>
        <w:tc>
          <w:tcPr>
            <w:tcW w:w="3432" w:type="pct"/>
          </w:tcPr>
          <w:p w:rsidR="00524621" w:rsidRPr="00647191" w:rsidRDefault="00524621" w:rsidP="00524621">
            <w:pPr>
              <w:rPr>
                <w:rFonts w:ascii="Arial" w:hAnsi="Arial" w:cs="Arial"/>
              </w:rPr>
            </w:pPr>
            <w:r w:rsidRPr="00647191">
              <w:rPr>
                <w:rFonts w:ascii="Arial" w:hAnsi="Arial" w:cs="Arial"/>
              </w:rPr>
              <w:t>£15,000</w:t>
            </w:r>
          </w:p>
        </w:tc>
      </w:tr>
      <w:tr w:rsidR="00524621" w:rsidRPr="00647191" w:rsidTr="00524621">
        <w:tc>
          <w:tcPr>
            <w:tcW w:w="1568" w:type="pct"/>
            <w:shd w:val="clear" w:color="auto" w:fill="BFBFBF" w:themeFill="background1" w:themeFillShade="BF"/>
          </w:tcPr>
          <w:p w:rsidR="00524621" w:rsidRPr="00647191" w:rsidRDefault="00524621" w:rsidP="00524621">
            <w:pPr>
              <w:rPr>
                <w:rFonts w:ascii="Arial" w:hAnsi="Arial" w:cs="Arial"/>
                <w:b/>
              </w:rPr>
            </w:pPr>
            <w:r w:rsidRPr="00647191">
              <w:rPr>
                <w:rFonts w:ascii="Arial" w:hAnsi="Arial" w:cs="Arial"/>
                <w:b/>
              </w:rPr>
              <w:t>Maximum Grant Available</w:t>
            </w:r>
          </w:p>
        </w:tc>
        <w:tc>
          <w:tcPr>
            <w:tcW w:w="3432" w:type="pct"/>
          </w:tcPr>
          <w:p w:rsidR="00524621" w:rsidRPr="00647191" w:rsidRDefault="00524621" w:rsidP="00524621">
            <w:pPr>
              <w:rPr>
                <w:rFonts w:ascii="Arial" w:hAnsi="Arial" w:cs="Arial"/>
              </w:rPr>
            </w:pPr>
            <w:r w:rsidRPr="00647191">
              <w:rPr>
                <w:rFonts w:ascii="Arial" w:hAnsi="Arial" w:cs="Arial"/>
              </w:rPr>
              <w:t>£50,000</w:t>
            </w:r>
          </w:p>
        </w:tc>
      </w:tr>
      <w:tr w:rsidR="00524621" w:rsidRPr="00647191" w:rsidTr="00524621">
        <w:tc>
          <w:tcPr>
            <w:tcW w:w="1568" w:type="pct"/>
            <w:shd w:val="clear" w:color="auto" w:fill="BFBFBF" w:themeFill="background1" w:themeFillShade="BF"/>
          </w:tcPr>
          <w:p w:rsidR="00524621" w:rsidRDefault="00524621" w:rsidP="00524621">
            <w:pPr>
              <w:rPr>
                <w:rFonts w:ascii="Arial" w:hAnsi="Arial" w:cs="Arial"/>
                <w:b/>
              </w:rPr>
            </w:pPr>
            <w:r w:rsidRPr="00647191">
              <w:rPr>
                <w:rFonts w:ascii="Arial" w:hAnsi="Arial" w:cs="Arial"/>
                <w:b/>
              </w:rPr>
              <w:t xml:space="preserve">Funding Deadlines </w:t>
            </w:r>
          </w:p>
          <w:p w:rsidR="00CF0EFB" w:rsidRPr="00647191" w:rsidRDefault="00CF0EFB" w:rsidP="00524621">
            <w:pPr>
              <w:rPr>
                <w:rFonts w:ascii="Arial" w:hAnsi="Arial" w:cs="Arial"/>
                <w:b/>
              </w:rPr>
            </w:pPr>
            <w:r w:rsidRPr="00CF0EFB">
              <w:rPr>
                <w:rFonts w:ascii="Arial" w:hAnsi="Arial" w:cs="Arial"/>
              </w:rPr>
              <w:t>Total grants budget split over two deadlines</w:t>
            </w:r>
          </w:p>
        </w:tc>
        <w:tc>
          <w:tcPr>
            <w:tcW w:w="3432" w:type="pct"/>
          </w:tcPr>
          <w:p w:rsidR="00524621" w:rsidRPr="00647191" w:rsidRDefault="000C2CCB" w:rsidP="00524621">
            <w:pPr>
              <w:rPr>
                <w:rFonts w:ascii="Arial" w:hAnsi="Arial" w:cs="Arial"/>
              </w:rPr>
            </w:pPr>
            <w:r w:rsidRPr="000C2CCB">
              <w:rPr>
                <w:rFonts w:ascii="Arial" w:hAnsi="Arial" w:cs="Arial"/>
              </w:rPr>
              <w:t xml:space="preserve">Noon, Tuesday </w:t>
            </w:r>
            <w:r w:rsidR="005E6CB3">
              <w:rPr>
                <w:rFonts w:ascii="Arial" w:hAnsi="Arial" w:cs="Arial"/>
              </w:rPr>
              <w:t>31</w:t>
            </w:r>
            <w:r w:rsidR="005E6CB3" w:rsidRPr="005E6CB3">
              <w:rPr>
                <w:rFonts w:ascii="Arial" w:hAnsi="Arial" w:cs="Arial"/>
                <w:vertAlign w:val="superscript"/>
              </w:rPr>
              <w:t>st</w:t>
            </w:r>
            <w:r w:rsidR="005E6CB3">
              <w:rPr>
                <w:rFonts w:ascii="Arial" w:hAnsi="Arial" w:cs="Arial"/>
              </w:rPr>
              <w:t xml:space="preserve"> January 2023</w:t>
            </w:r>
          </w:p>
        </w:tc>
      </w:tr>
      <w:tr w:rsidR="00524621" w:rsidRPr="00647191" w:rsidTr="00524621">
        <w:tc>
          <w:tcPr>
            <w:tcW w:w="1568" w:type="pct"/>
            <w:shd w:val="clear" w:color="auto" w:fill="BFBFBF" w:themeFill="background1" w:themeFillShade="BF"/>
          </w:tcPr>
          <w:p w:rsidR="00524621" w:rsidRPr="00647191" w:rsidRDefault="00524621" w:rsidP="00524621">
            <w:pPr>
              <w:rPr>
                <w:rFonts w:ascii="Arial" w:hAnsi="Arial" w:cs="Arial"/>
                <w:b/>
              </w:rPr>
            </w:pPr>
            <w:r w:rsidRPr="00647191">
              <w:rPr>
                <w:rFonts w:ascii="Arial" w:hAnsi="Arial" w:cs="Arial"/>
                <w:b/>
              </w:rPr>
              <w:t>Delivery period</w:t>
            </w:r>
          </w:p>
        </w:tc>
        <w:tc>
          <w:tcPr>
            <w:tcW w:w="3432" w:type="pct"/>
          </w:tcPr>
          <w:p w:rsidR="00524621" w:rsidRPr="00647191" w:rsidRDefault="00524621" w:rsidP="00524621">
            <w:pPr>
              <w:rPr>
                <w:rFonts w:ascii="Arial" w:hAnsi="Arial" w:cs="Arial"/>
              </w:rPr>
            </w:pPr>
            <w:r w:rsidRPr="00647191">
              <w:rPr>
                <w:rFonts w:ascii="Arial" w:hAnsi="Arial" w:cs="Arial"/>
              </w:rPr>
              <w:t xml:space="preserve">Projects must complete, including evaluation, within 18 months of a funding decision. </w:t>
            </w:r>
          </w:p>
          <w:p w:rsidR="00524621" w:rsidRPr="00647191" w:rsidRDefault="00524621" w:rsidP="00524621">
            <w:pPr>
              <w:rPr>
                <w:rFonts w:ascii="Arial" w:hAnsi="Arial" w:cs="Arial"/>
              </w:rPr>
            </w:pPr>
          </w:p>
          <w:p w:rsidR="00524621" w:rsidRPr="00647191" w:rsidRDefault="00524621" w:rsidP="00524621">
            <w:pPr>
              <w:rPr>
                <w:rFonts w:ascii="Arial" w:hAnsi="Arial" w:cs="Arial"/>
              </w:rPr>
            </w:pPr>
            <w:r w:rsidRPr="00647191">
              <w:rPr>
                <w:rFonts w:ascii="Arial" w:hAnsi="Arial" w:cs="Arial"/>
              </w:rPr>
              <w:t>Final projects to complete Summer 2024</w:t>
            </w:r>
          </w:p>
        </w:tc>
      </w:tr>
    </w:tbl>
    <w:p w:rsidR="00642943" w:rsidRPr="00647191" w:rsidRDefault="00642943" w:rsidP="00F04680">
      <w:pPr>
        <w:rPr>
          <w:rFonts w:cs="Arial"/>
        </w:rPr>
      </w:pPr>
    </w:p>
    <w:p w:rsidR="002F2F4B" w:rsidRDefault="002F2F4B" w:rsidP="00642943">
      <w:pPr>
        <w:rPr>
          <w:rFonts w:cs="Arial"/>
          <w:b/>
        </w:rPr>
      </w:pPr>
    </w:p>
    <w:p w:rsidR="00642943" w:rsidRPr="00647191" w:rsidRDefault="00524621" w:rsidP="00642943">
      <w:pPr>
        <w:rPr>
          <w:rFonts w:cs="Arial"/>
        </w:rPr>
      </w:pPr>
      <w:r w:rsidRPr="00647191">
        <w:rPr>
          <w:rFonts w:cs="Arial"/>
          <w:b/>
        </w:rPr>
        <w:t xml:space="preserve">GROW - </w:t>
      </w:r>
      <w:r w:rsidR="00642943" w:rsidRPr="00647191">
        <w:rPr>
          <w:rFonts w:cs="Arial"/>
        </w:rPr>
        <w:t>Infrastructure development funding for VCSE org</w:t>
      </w:r>
      <w:r w:rsidR="001A523A">
        <w:rPr>
          <w:rFonts w:cs="Arial"/>
        </w:rPr>
        <w:t>anisation</w:t>
      </w:r>
      <w:r w:rsidR="00642943" w:rsidRPr="00647191">
        <w:rPr>
          <w:rFonts w:cs="Arial"/>
        </w:rPr>
        <w:t>s to grow and develop e.g. investing in new software, testing new roles, improving websites.</w:t>
      </w:r>
    </w:p>
    <w:p w:rsidR="00642943" w:rsidRPr="00647191" w:rsidRDefault="00642943" w:rsidP="00642943">
      <w:pPr>
        <w:rPr>
          <w:rFonts w:cs="Arial"/>
        </w:rPr>
      </w:pPr>
    </w:p>
    <w:p w:rsidR="00524621" w:rsidRDefault="00642943" w:rsidP="00642943">
      <w:pPr>
        <w:rPr>
          <w:rFonts w:cs="Arial"/>
          <w:b/>
          <w:i/>
        </w:rPr>
      </w:pPr>
      <w:r w:rsidRPr="00647191">
        <w:rPr>
          <w:rFonts w:cs="Arial"/>
          <w:b/>
          <w:i/>
        </w:rPr>
        <w:t xml:space="preserve">Please note - the Grow funding </w:t>
      </w:r>
      <w:r w:rsidR="00D93A65">
        <w:rPr>
          <w:rFonts w:cs="Arial"/>
          <w:b/>
          <w:i/>
        </w:rPr>
        <w:t>stream will be open imminently</w:t>
      </w:r>
      <w:r w:rsidRPr="00647191">
        <w:rPr>
          <w:rFonts w:cs="Arial"/>
          <w:b/>
          <w:i/>
        </w:rPr>
        <w:t xml:space="preserve">. </w:t>
      </w:r>
      <w:r w:rsidR="00922074">
        <w:rPr>
          <w:rFonts w:cs="Arial"/>
          <w:b/>
          <w:i/>
        </w:rPr>
        <w:t>Please see our website for Grow funding guidelines.</w:t>
      </w:r>
      <w:r w:rsidRPr="00647191">
        <w:rPr>
          <w:rFonts w:cs="Arial"/>
          <w:b/>
          <w:i/>
        </w:rPr>
        <w:t xml:space="preserve"> </w:t>
      </w:r>
    </w:p>
    <w:p w:rsidR="00931EB0" w:rsidRPr="00647191" w:rsidRDefault="00931EB0" w:rsidP="00642943">
      <w:pPr>
        <w:rPr>
          <w:rFonts w:cs="Arial"/>
          <w:b/>
          <w:i/>
        </w:rPr>
      </w:pPr>
    </w:p>
    <w:p w:rsidR="00524621" w:rsidRPr="00647191" w:rsidRDefault="00524621" w:rsidP="00642943">
      <w:pPr>
        <w:rPr>
          <w:rFonts w:cs="Arial"/>
          <w:b/>
          <w:i/>
        </w:rPr>
      </w:pPr>
    </w:p>
    <w:p w:rsidR="00D82580" w:rsidRPr="00801840" w:rsidRDefault="00D82580" w:rsidP="00744A14">
      <w:pPr>
        <w:pStyle w:val="Heading1"/>
      </w:pPr>
      <w:bookmarkStart w:id="25" w:name="_Toc118718682"/>
      <w:bookmarkStart w:id="26" w:name="_Toc118719045"/>
      <w:bookmarkStart w:id="27" w:name="_Toc118719499"/>
      <w:r w:rsidRPr="00801840">
        <w:t>Funding Priorities</w:t>
      </w:r>
      <w:bookmarkEnd w:id="25"/>
      <w:bookmarkEnd w:id="26"/>
      <w:bookmarkEnd w:id="27"/>
    </w:p>
    <w:p w:rsidR="004366A6" w:rsidRPr="00647191" w:rsidRDefault="004366A6" w:rsidP="004366A6">
      <w:pPr>
        <w:rPr>
          <w:rFonts w:cs="Arial"/>
        </w:rPr>
      </w:pPr>
    </w:p>
    <w:p w:rsidR="00764585" w:rsidRPr="00647191" w:rsidRDefault="00541E72" w:rsidP="00764585">
      <w:pPr>
        <w:rPr>
          <w:rFonts w:cs="Arial"/>
        </w:rPr>
      </w:pPr>
      <w:r w:rsidRPr="00647191">
        <w:rPr>
          <w:rFonts w:cs="Arial"/>
        </w:rPr>
        <w:t>Funding priorities</w:t>
      </w:r>
      <w:r w:rsidR="00764585" w:rsidRPr="00647191">
        <w:rPr>
          <w:rFonts w:cs="Arial"/>
        </w:rPr>
        <w:t xml:space="preserve"> respond directly to the need to improve health outcomes for people with mental health problems, increase personal and community resilience, increase preventative approaches and at the same time contribute to reducing pressure on secondary care NHS mental health services. All projects must add value to existing work and have robust evaluation processes in place:</w:t>
      </w:r>
    </w:p>
    <w:p w:rsidR="00764585" w:rsidRPr="00647191" w:rsidRDefault="00764585" w:rsidP="00541E72">
      <w:pPr>
        <w:rPr>
          <w:rFonts w:cs="Arial"/>
        </w:rPr>
      </w:pPr>
    </w:p>
    <w:p w:rsidR="002F2F4B" w:rsidRDefault="00647191" w:rsidP="00050EFE">
      <w:pPr>
        <w:rPr>
          <w:rFonts w:eastAsia="Calibri" w:cs="Arial"/>
          <w:b/>
        </w:rPr>
      </w:pPr>
      <w:r w:rsidRPr="00050EFE">
        <w:rPr>
          <w:rFonts w:eastAsia="Calibri" w:cs="Arial"/>
          <w:b/>
        </w:rPr>
        <w:t>TRANSFORMATION OF ADULT COMMUNITY MENTAL HEALTH SERVICES</w:t>
      </w:r>
    </w:p>
    <w:p w:rsidR="00AB1A30" w:rsidRPr="00050EFE" w:rsidRDefault="00AB1A30" w:rsidP="00050EFE">
      <w:pPr>
        <w:rPr>
          <w:rFonts w:eastAsia="Calibri" w:cs="Arial"/>
        </w:rPr>
      </w:pPr>
    </w:p>
    <w:p w:rsidR="007343A5" w:rsidRPr="007343A5" w:rsidRDefault="00A220CF" w:rsidP="007343A5">
      <w:pPr>
        <w:rPr>
          <w:rFonts w:eastAsia="Calibri" w:cs="Arial"/>
        </w:rPr>
      </w:pPr>
      <w:r>
        <w:rPr>
          <w:rFonts w:eastAsia="Calibri" w:cs="Arial"/>
        </w:rPr>
        <w:t>Applications are welcomed</w:t>
      </w:r>
      <w:r w:rsidR="00E31ADD" w:rsidRPr="00647191">
        <w:rPr>
          <w:rFonts w:eastAsia="Calibri" w:cs="Arial"/>
        </w:rPr>
        <w:t xml:space="preserve"> that </w:t>
      </w:r>
      <w:r w:rsidR="00E31ADD">
        <w:rPr>
          <w:rFonts w:eastAsia="Calibri" w:cs="Arial"/>
        </w:rPr>
        <w:t xml:space="preserve">support the transformation of adult community mental health services in Sussex. </w:t>
      </w:r>
      <w:r w:rsidR="00E31ADD" w:rsidRPr="00647191">
        <w:rPr>
          <w:rFonts w:eastAsia="Calibri" w:cs="Arial"/>
        </w:rPr>
        <w:t xml:space="preserve"> </w:t>
      </w:r>
      <w:r w:rsidR="007343A5" w:rsidRPr="006C21E4">
        <w:rPr>
          <w:rFonts w:eastAsia="Calibri" w:cs="Arial"/>
          <w:u w:val="single"/>
        </w:rPr>
        <w:t>We are particularly keen to receive applications for projects delivered in East and West Sussex.</w:t>
      </w:r>
    </w:p>
    <w:p w:rsidR="007343A5" w:rsidRPr="007343A5" w:rsidRDefault="007343A5" w:rsidP="007343A5">
      <w:pPr>
        <w:rPr>
          <w:rFonts w:eastAsia="Calibri" w:cs="Arial"/>
        </w:rPr>
      </w:pPr>
    </w:p>
    <w:p w:rsidR="00E31ADD" w:rsidRDefault="007343A5" w:rsidP="007343A5">
      <w:pPr>
        <w:rPr>
          <w:rFonts w:eastAsia="Calibri" w:cs="Arial"/>
        </w:rPr>
      </w:pPr>
      <w:r w:rsidRPr="007343A5">
        <w:rPr>
          <w:rFonts w:eastAsia="Calibri" w:cs="Arial"/>
        </w:rPr>
        <w:t>Given the demand in funding, applications that align most closely with the community transformation funding programme in Sussex will be prioritised, particularly those projects that support people experiencing severe and enduring mental illness.</w:t>
      </w:r>
    </w:p>
    <w:p w:rsidR="00E31ADD" w:rsidRDefault="00E31ADD" w:rsidP="002F2F4B">
      <w:pPr>
        <w:rPr>
          <w:rFonts w:eastAsia="Calibri" w:cs="Arial"/>
        </w:rPr>
      </w:pPr>
    </w:p>
    <w:p w:rsidR="00764585" w:rsidRPr="002F2F4B" w:rsidRDefault="00764585" w:rsidP="002F2F4B">
      <w:pPr>
        <w:rPr>
          <w:rFonts w:eastAsia="Calibri" w:cs="Arial"/>
        </w:rPr>
      </w:pPr>
      <w:r w:rsidRPr="002F2F4B">
        <w:rPr>
          <w:rFonts w:eastAsia="Calibri" w:cs="Arial"/>
        </w:rPr>
        <w:t xml:space="preserve">The transformation of community mental health services for adults in Sussex is a partnership between the NHS (mental health services and General Practice), Social Care and the Voluntary, Community and Social Enterprise (VCSE) sector. </w:t>
      </w:r>
    </w:p>
    <w:p w:rsidR="00764585" w:rsidRPr="00647191" w:rsidRDefault="00764585" w:rsidP="00764585">
      <w:pPr>
        <w:rPr>
          <w:rFonts w:eastAsia="Calibri" w:cs="Arial"/>
        </w:rPr>
      </w:pPr>
    </w:p>
    <w:p w:rsidR="00764585" w:rsidRPr="00647191" w:rsidRDefault="00764585" w:rsidP="00764585">
      <w:pPr>
        <w:rPr>
          <w:rFonts w:eastAsia="Calibri" w:cs="Arial"/>
        </w:rPr>
      </w:pPr>
      <w:r w:rsidRPr="00647191">
        <w:rPr>
          <w:rFonts w:eastAsia="Calibri" w:cs="Arial"/>
        </w:rPr>
        <w:t>We are developing and implementing new and integrated models of healthcare that connect different parts of mental health care services &amp; support</w:t>
      </w:r>
      <w:r w:rsidR="008901FE">
        <w:rPr>
          <w:rFonts w:eastAsia="Calibri" w:cs="Arial"/>
        </w:rPr>
        <w:t>,</w:t>
      </w:r>
      <w:r w:rsidRPr="00647191">
        <w:rPr>
          <w:rFonts w:eastAsia="Calibri" w:cs="Arial"/>
        </w:rPr>
        <w:t xml:space="preserve"> to better support people with mental illness and improve people's life expectancy. This new way of delivering care will be developed across East Sussex, Brighton &amp; Hove and West Sussex and aim</w:t>
      </w:r>
      <w:r w:rsidR="007343A5">
        <w:rPr>
          <w:rFonts w:eastAsia="Calibri" w:cs="Arial"/>
        </w:rPr>
        <w:t>s</w:t>
      </w:r>
      <w:r w:rsidRPr="00647191">
        <w:rPr>
          <w:rFonts w:eastAsia="Calibri" w:cs="Arial"/>
        </w:rPr>
        <w:t xml:space="preserve"> to:</w:t>
      </w:r>
    </w:p>
    <w:p w:rsidR="00764585" w:rsidRPr="00647191" w:rsidRDefault="00764585" w:rsidP="00764585">
      <w:pPr>
        <w:rPr>
          <w:rFonts w:eastAsia="Calibri" w:cs="Arial"/>
        </w:rPr>
      </w:pPr>
    </w:p>
    <w:p w:rsidR="00764585" w:rsidRPr="00647191" w:rsidRDefault="00764585" w:rsidP="00764585">
      <w:pPr>
        <w:pStyle w:val="ListParagraph"/>
        <w:numPr>
          <w:ilvl w:val="0"/>
          <w:numId w:val="34"/>
        </w:numPr>
        <w:spacing w:after="0" w:line="240" w:lineRule="auto"/>
        <w:rPr>
          <w:rFonts w:ascii="Arial" w:eastAsia="Calibri" w:hAnsi="Arial" w:cs="Arial"/>
        </w:rPr>
      </w:pPr>
      <w:r w:rsidRPr="00647191">
        <w:rPr>
          <w:rFonts w:ascii="Arial" w:eastAsia="Calibri" w:hAnsi="Arial" w:cs="Arial"/>
        </w:rPr>
        <w:t>Support people to live well in their local communities, accessing mental health care where and when they need it.</w:t>
      </w:r>
    </w:p>
    <w:p w:rsidR="00764585" w:rsidRPr="00647191" w:rsidRDefault="00764585" w:rsidP="00764585">
      <w:pPr>
        <w:pStyle w:val="ListParagraph"/>
        <w:numPr>
          <w:ilvl w:val="0"/>
          <w:numId w:val="34"/>
        </w:numPr>
        <w:spacing w:after="0" w:line="240" w:lineRule="auto"/>
        <w:rPr>
          <w:rFonts w:ascii="Arial" w:eastAsia="Calibri" w:hAnsi="Arial" w:cs="Arial"/>
        </w:rPr>
      </w:pPr>
      <w:r w:rsidRPr="00647191">
        <w:rPr>
          <w:rFonts w:ascii="Arial" w:eastAsia="Calibri" w:hAnsi="Arial" w:cs="Arial"/>
        </w:rPr>
        <w:t>Manage their condition or move towards recovery on their own terms, surrounded by their families, carers and social networks, and supported in their local community.</w:t>
      </w:r>
    </w:p>
    <w:p w:rsidR="00764585" w:rsidRPr="00647191" w:rsidRDefault="00764585" w:rsidP="00764585">
      <w:pPr>
        <w:pStyle w:val="ListParagraph"/>
        <w:numPr>
          <w:ilvl w:val="0"/>
          <w:numId w:val="34"/>
        </w:numPr>
        <w:spacing w:after="0" w:line="240" w:lineRule="auto"/>
        <w:rPr>
          <w:rFonts w:ascii="Arial" w:eastAsia="Calibri" w:hAnsi="Arial" w:cs="Arial"/>
        </w:rPr>
      </w:pPr>
      <w:r w:rsidRPr="00647191">
        <w:rPr>
          <w:rFonts w:ascii="Arial" w:eastAsia="Calibri" w:hAnsi="Arial" w:cs="Arial"/>
        </w:rPr>
        <w:t>Contribute to and be participants in the communities that sustain them, to whatever extent is comfortable to them.</w:t>
      </w:r>
    </w:p>
    <w:p w:rsidR="00764585" w:rsidRPr="00647191" w:rsidRDefault="00764585" w:rsidP="00764585">
      <w:pPr>
        <w:rPr>
          <w:rFonts w:eastAsia="Calibri" w:cs="Arial"/>
        </w:rPr>
      </w:pPr>
    </w:p>
    <w:p w:rsidR="00764585" w:rsidRDefault="00764585" w:rsidP="00764585">
      <w:pPr>
        <w:rPr>
          <w:rFonts w:eastAsia="Calibri" w:cs="Arial"/>
        </w:rPr>
      </w:pPr>
      <w:r w:rsidRPr="00647191">
        <w:rPr>
          <w:rFonts w:eastAsia="Calibri" w:cs="Arial"/>
        </w:rPr>
        <w:t>The work in Sussex addresses, on a local level, the recommendations of the NHS Long Term Plan to transform the provision of community-based adults (including older adults) mental healthcare across England</w:t>
      </w:r>
      <w:r w:rsidR="001A523A">
        <w:rPr>
          <w:rFonts w:eastAsia="Calibri" w:cs="Arial"/>
        </w:rPr>
        <w:t>.</w:t>
      </w:r>
    </w:p>
    <w:p w:rsidR="000941E0" w:rsidRDefault="000941E0" w:rsidP="00764585">
      <w:pPr>
        <w:rPr>
          <w:rFonts w:eastAsia="Calibri" w:cs="Arial"/>
        </w:rPr>
      </w:pPr>
    </w:p>
    <w:p w:rsidR="000941E0" w:rsidRPr="00647191" w:rsidRDefault="000941E0" w:rsidP="00764585">
      <w:pPr>
        <w:rPr>
          <w:rFonts w:eastAsia="Calibri" w:cs="Arial"/>
        </w:rPr>
      </w:pPr>
      <w:r>
        <w:rPr>
          <w:rFonts w:eastAsia="Calibri" w:cs="Arial"/>
        </w:rPr>
        <w:t xml:space="preserve">This video explains more about the transformation of community mental health services across England </w:t>
      </w:r>
      <w:hyperlink r:id="rId12" w:history="1">
        <w:r w:rsidRPr="000941E0">
          <w:rPr>
            <w:rFonts w:eastAsia="Calibri" w:cs="Times New Roman"/>
            <w:color w:val="0563C1"/>
            <w:u w:val="single"/>
          </w:rPr>
          <w:t>https://www.youtube.com/watch?v=ruGb6r8jnIA</w:t>
        </w:r>
      </w:hyperlink>
    </w:p>
    <w:p w:rsidR="005924DB" w:rsidRPr="00647191" w:rsidRDefault="005924DB" w:rsidP="00764585">
      <w:pPr>
        <w:rPr>
          <w:rFonts w:eastAsia="Calibri" w:cs="Arial"/>
        </w:rPr>
      </w:pPr>
    </w:p>
    <w:p w:rsidR="00764585" w:rsidRPr="00647191" w:rsidRDefault="00764585" w:rsidP="00764585">
      <w:pPr>
        <w:rPr>
          <w:rFonts w:eastAsia="Calibri" w:cs="Arial"/>
        </w:rPr>
      </w:pPr>
      <w:r w:rsidRPr="00647191">
        <w:rPr>
          <w:rFonts w:eastAsia="Calibri" w:cs="Arial"/>
        </w:rPr>
        <w:t>You can apply for grants to deliver projects within the following priority areas that will contribute towards the aims of the Sussex transformation of adult community mental health services:</w:t>
      </w:r>
    </w:p>
    <w:p w:rsidR="00764585" w:rsidRPr="00647191" w:rsidRDefault="00764585" w:rsidP="00764585">
      <w:pPr>
        <w:rPr>
          <w:rFonts w:eastAsia="Calibri" w:cs="Arial"/>
        </w:rPr>
      </w:pPr>
    </w:p>
    <w:p w:rsidR="00764585" w:rsidRPr="00647191" w:rsidRDefault="00764585" w:rsidP="00764585">
      <w:pPr>
        <w:pStyle w:val="ListParagraph"/>
        <w:numPr>
          <w:ilvl w:val="0"/>
          <w:numId w:val="32"/>
        </w:numPr>
        <w:spacing w:after="0" w:line="240" w:lineRule="auto"/>
        <w:rPr>
          <w:rFonts w:ascii="Arial" w:eastAsia="Calibri" w:hAnsi="Arial" w:cs="Arial"/>
        </w:rPr>
      </w:pPr>
      <w:r w:rsidRPr="00647191">
        <w:rPr>
          <w:rFonts w:ascii="Arial" w:eastAsia="Calibri" w:hAnsi="Arial" w:cs="Arial"/>
        </w:rPr>
        <w:t>Improving access to mental health care particularly for groups who face additional barriers to accessing healthcare</w:t>
      </w:r>
    </w:p>
    <w:p w:rsidR="00764585" w:rsidRPr="00647191" w:rsidRDefault="00764585" w:rsidP="00764585">
      <w:pPr>
        <w:pStyle w:val="ListParagraph"/>
        <w:numPr>
          <w:ilvl w:val="0"/>
          <w:numId w:val="32"/>
        </w:numPr>
        <w:spacing w:after="0" w:line="240" w:lineRule="auto"/>
        <w:rPr>
          <w:rFonts w:ascii="Arial" w:eastAsia="Calibri" w:hAnsi="Arial" w:cs="Arial"/>
        </w:rPr>
      </w:pPr>
      <w:r w:rsidRPr="00647191">
        <w:rPr>
          <w:rFonts w:ascii="Arial" w:eastAsia="Calibri" w:hAnsi="Arial" w:cs="Arial"/>
        </w:rPr>
        <w:lastRenderedPageBreak/>
        <w:t>Building mental health resilience in local communities</w:t>
      </w:r>
    </w:p>
    <w:p w:rsidR="00764585" w:rsidRPr="001A523A" w:rsidRDefault="00764585" w:rsidP="00406776">
      <w:pPr>
        <w:pStyle w:val="ListParagraph"/>
        <w:numPr>
          <w:ilvl w:val="0"/>
          <w:numId w:val="32"/>
        </w:numPr>
        <w:spacing w:after="0" w:line="240" w:lineRule="auto"/>
        <w:rPr>
          <w:rFonts w:ascii="Arial" w:eastAsia="Calibri" w:hAnsi="Arial" w:cs="Arial"/>
        </w:rPr>
      </w:pPr>
      <w:r w:rsidRPr="001A523A">
        <w:rPr>
          <w:rFonts w:ascii="Arial" w:eastAsia="Calibri" w:hAnsi="Arial" w:cs="Arial"/>
        </w:rPr>
        <w:t>Addressing the social determinants of health</w:t>
      </w:r>
      <w:r w:rsidR="001A523A" w:rsidRPr="001A523A">
        <w:rPr>
          <w:rFonts w:ascii="Arial" w:eastAsia="Calibri" w:hAnsi="Arial" w:cs="Arial"/>
        </w:rPr>
        <w:t xml:space="preserve"> and health inequalities</w:t>
      </w:r>
      <w:r w:rsidR="00541E72" w:rsidRPr="001A523A">
        <w:rPr>
          <w:rFonts w:ascii="Arial" w:eastAsia="Calibri" w:hAnsi="Arial" w:cs="Arial"/>
        </w:rPr>
        <w:t>*</w:t>
      </w:r>
    </w:p>
    <w:p w:rsidR="00764585" w:rsidRPr="00647191" w:rsidRDefault="00764585" w:rsidP="00764585">
      <w:pPr>
        <w:rPr>
          <w:rFonts w:eastAsia="Calibri" w:cs="Arial"/>
        </w:rPr>
      </w:pPr>
    </w:p>
    <w:p w:rsidR="00541E72" w:rsidRPr="00647191" w:rsidRDefault="00764585" w:rsidP="00764585">
      <w:pPr>
        <w:rPr>
          <w:rFonts w:eastAsia="Times New Roman" w:cs="Arial"/>
          <w:lang w:eastAsia="en-GB"/>
        </w:rPr>
      </w:pPr>
      <w:r w:rsidRPr="00647191">
        <w:rPr>
          <w:rFonts w:cs="Arial"/>
        </w:rPr>
        <w:t>*</w:t>
      </w:r>
      <w:r w:rsidRPr="00647191">
        <w:rPr>
          <w:rFonts w:eastAsia="Times New Roman" w:cs="Arial"/>
          <w:lang w:eastAsia="en-GB"/>
        </w:rPr>
        <w:t xml:space="preserve"> </w:t>
      </w:r>
      <w:r w:rsidR="00541E72" w:rsidRPr="00647191">
        <w:rPr>
          <w:rFonts w:eastAsia="Times New Roman" w:cs="Arial"/>
          <w:b/>
          <w:lang w:eastAsia="en-GB"/>
        </w:rPr>
        <w:t>Social Determinants of health</w:t>
      </w:r>
      <w:r w:rsidR="001A523A">
        <w:rPr>
          <w:rFonts w:eastAsia="Times New Roman" w:cs="Arial"/>
          <w:b/>
          <w:lang w:eastAsia="en-GB"/>
        </w:rPr>
        <w:t xml:space="preserve"> and health inequalities </w:t>
      </w:r>
    </w:p>
    <w:p w:rsidR="00764585" w:rsidRPr="00647191" w:rsidRDefault="00764585" w:rsidP="00764585">
      <w:pPr>
        <w:rPr>
          <w:rFonts w:cs="Arial"/>
        </w:rPr>
      </w:pPr>
      <w:r w:rsidRPr="00647191">
        <w:rPr>
          <w:rFonts w:cs="Arial"/>
        </w:rPr>
        <w:t xml:space="preserve">The World Health Organisation defines the </w:t>
      </w:r>
      <w:r w:rsidRPr="001A523A">
        <w:rPr>
          <w:rFonts w:cs="Arial"/>
          <w:i/>
        </w:rPr>
        <w:t>social determinants of health</w:t>
      </w:r>
      <w:r w:rsidRPr="00647191">
        <w:rPr>
          <w:rFonts w:cs="Arial"/>
        </w:rPr>
        <w:t xml:space="preserve"> (SDH) as the 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and political systems.</w:t>
      </w:r>
    </w:p>
    <w:p w:rsidR="00541E72" w:rsidRPr="00647191" w:rsidRDefault="00541E72" w:rsidP="00764585">
      <w:pPr>
        <w:rPr>
          <w:rFonts w:cs="Arial"/>
        </w:rPr>
      </w:pPr>
    </w:p>
    <w:p w:rsidR="00A220CF" w:rsidRPr="00647191" w:rsidRDefault="00A220CF" w:rsidP="00A220CF">
      <w:pPr>
        <w:rPr>
          <w:rFonts w:cs="Arial"/>
        </w:rPr>
      </w:pPr>
      <w:r w:rsidRPr="00647191">
        <w:rPr>
          <w:rFonts w:cs="Arial"/>
        </w:rPr>
        <w:t>The following list provides examples of the social determinants of health, which can influence health equity in positive and negative ways:</w:t>
      </w:r>
    </w:p>
    <w:p w:rsidR="00A220CF" w:rsidRPr="00647191" w:rsidRDefault="00A220CF" w:rsidP="00A220CF">
      <w:pPr>
        <w:numPr>
          <w:ilvl w:val="0"/>
          <w:numId w:val="33"/>
        </w:numPr>
        <w:spacing w:line="276" w:lineRule="auto"/>
        <w:rPr>
          <w:rFonts w:cs="Arial"/>
        </w:rPr>
      </w:pPr>
      <w:r w:rsidRPr="00647191">
        <w:rPr>
          <w:rFonts w:cs="Arial"/>
        </w:rPr>
        <w:t>Income and social protection</w:t>
      </w:r>
    </w:p>
    <w:p w:rsidR="00A220CF" w:rsidRPr="00647191" w:rsidRDefault="00A220CF" w:rsidP="00A220CF">
      <w:pPr>
        <w:numPr>
          <w:ilvl w:val="0"/>
          <w:numId w:val="33"/>
        </w:numPr>
        <w:spacing w:line="276" w:lineRule="auto"/>
        <w:rPr>
          <w:rFonts w:cs="Arial"/>
        </w:rPr>
      </w:pPr>
      <w:r w:rsidRPr="00647191">
        <w:rPr>
          <w:rFonts w:cs="Arial"/>
        </w:rPr>
        <w:t>Education</w:t>
      </w:r>
    </w:p>
    <w:p w:rsidR="00A220CF" w:rsidRPr="00647191" w:rsidRDefault="00A220CF" w:rsidP="00A220CF">
      <w:pPr>
        <w:numPr>
          <w:ilvl w:val="0"/>
          <w:numId w:val="33"/>
        </w:numPr>
        <w:spacing w:line="276" w:lineRule="auto"/>
        <w:rPr>
          <w:rFonts w:cs="Arial"/>
        </w:rPr>
      </w:pPr>
      <w:r w:rsidRPr="00647191">
        <w:rPr>
          <w:rFonts w:cs="Arial"/>
        </w:rPr>
        <w:t>Unemployment and job insecurity</w:t>
      </w:r>
    </w:p>
    <w:p w:rsidR="00A220CF" w:rsidRPr="00647191" w:rsidRDefault="00A220CF" w:rsidP="00A220CF">
      <w:pPr>
        <w:numPr>
          <w:ilvl w:val="0"/>
          <w:numId w:val="33"/>
        </w:numPr>
        <w:spacing w:line="276" w:lineRule="auto"/>
        <w:rPr>
          <w:rFonts w:cs="Arial"/>
        </w:rPr>
      </w:pPr>
      <w:r w:rsidRPr="00647191">
        <w:rPr>
          <w:rFonts w:cs="Arial"/>
        </w:rPr>
        <w:t>Working life conditions</w:t>
      </w:r>
    </w:p>
    <w:p w:rsidR="00A220CF" w:rsidRPr="00647191" w:rsidRDefault="00A220CF" w:rsidP="00A220CF">
      <w:pPr>
        <w:numPr>
          <w:ilvl w:val="0"/>
          <w:numId w:val="33"/>
        </w:numPr>
        <w:spacing w:line="276" w:lineRule="auto"/>
        <w:rPr>
          <w:rFonts w:cs="Arial"/>
        </w:rPr>
      </w:pPr>
      <w:r w:rsidRPr="00647191">
        <w:rPr>
          <w:rFonts w:cs="Arial"/>
        </w:rPr>
        <w:t>Food insecurity</w:t>
      </w:r>
    </w:p>
    <w:p w:rsidR="00A220CF" w:rsidRPr="00647191" w:rsidRDefault="00A220CF" w:rsidP="00A220CF">
      <w:pPr>
        <w:numPr>
          <w:ilvl w:val="0"/>
          <w:numId w:val="33"/>
        </w:numPr>
        <w:spacing w:line="276" w:lineRule="auto"/>
        <w:rPr>
          <w:rFonts w:cs="Arial"/>
        </w:rPr>
      </w:pPr>
      <w:r w:rsidRPr="00647191">
        <w:rPr>
          <w:rFonts w:cs="Arial"/>
        </w:rPr>
        <w:t>Housing, basic amenities and the environment</w:t>
      </w:r>
    </w:p>
    <w:p w:rsidR="00A220CF" w:rsidRPr="00647191" w:rsidRDefault="00A220CF" w:rsidP="00A220CF">
      <w:pPr>
        <w:numPr>
          <w:ilvl w:val="0"/>
          <w:numId w:val="33"/>
        </w:numPr>
        <w:spacing w:line="276" w:lineRule="auto"/>
        <w:rPr>
          <w:rFonts w:cs="Arial"/>
        </w:rPr>
      </w:pPr>
      <w:r w:rsidRPr="00647191">
        <w:rPr>
          <w:rFonts w:cs="Arial"/>
        </w:rPr>
        <w:t>Early childhood development</w:t>
      </w:r>
    </w:p>
    <w:p w:rsidR="00A220CF" w:rsidRPr="00647191" w:rsidRDefault="00A220CF" w:rsidP="00A220CF">
      <w:pPr>
        <w:numPr>
          <w:ilvl w:val="0"/>
          <w:numId w:val="33"/>
        </w:numPr>
        <w:spacing w:line="276" w:lineRule="auto"/>
        <w:rPr>
          <w:rFonts w:cs="Arial"/>
        </w:rPr>
      </w:pPr>
      <w:r w:rsidRPr="00647191">
        <w:rPr>
          <w:rFonts w:cs="Arial"/>
        </w:rPr>
        <w:t>Social inclusion and non-discrimination</w:t>
      </w:r>
    </w:p>
    <w:p w:rsidR="00A220CF" w:rsidRPr="00647191" w:rsidRDefault="00A220CF" w:rsidP="00A220CF">
      <w:pPr>
        <w:numPr>
          <w:ilvl w:val="0"/>
          <w:numId w:val="33"/>
        </w:numPr>
        <w:spacing w:line="276" w:lineRule="auto"/>
        <w:rPr>
          <w:rFonts w:cs="Arial"/>
        </w:rPr>
      </w:pPr>
      <w:r w:rsidRPr="00647191">
        <w:rPr>
          <w:rFonts w:cs="Arial"/>
        </w:rPr>
        <w:t>Structural conflict</w:t>
      </w:r>
    </w:p>
    <w:p w:rsidR="00A220CF" w:rsidRPr="00647191" w:rsidRDefault="00A220CF" w:rsidP="00A220CF">
      <w:pPr>
        <w:numPr>
          <w:ilvl w:val="0"/>
          <w:numId w:val="33"/>
        </w:numPr>
        <w:spacing w:line="276" w:lineRule="auto"/>
        <w:rPr>
          <w:rFonts w:cs="Arial"/>
        </w:rPr>
      </w:pPr>
      <w:r w:rsidRPr="00647191">
        <w:rPr>
          <w:rFonts w:cs="Arial"/>
        </w:rPr>
        <w:t>Access to affordable health services of decent quality.</w:t>
      </w:r>
    </w:p>
    <w:p w:rsidR="00A220CF" w:rsidRPr="00647191" w:rsidRDefault="00A220CF" w:rsidP="00A220CF">
      <w:pPr>
        <w:ind w:left="720"/>
        <w:rPr>
          <w:rFonts w:cs="Arial"/>
        </w:rPr>
      </w:pPr>
    </w:p>
    <w:p w:rsidR="00A220CF" w:rsidRPr="00647191" w:rsidRDefault="00A220CF" w:rsidP="00A220CF">
      <w:pPr>
        <w:rPr>
          <w:rFonts w:cs="Arial"/>
        </w:rPr>
      </w:pPr>
      <w:r w:rsidRPr="00647191">
        <w:rPr>
          <w:rFonts w:cs="Arial"/>
        </w:rPr>
        <w:t>Research shows that the social determinants can be more important than health care or lifestyle choices in influencing health. For example, numerous studies suggest that SDH account for between 30-55% of health outcomes. In addition, estimates show that the contribution of sectors outside health to population health outcomes exceeds the contribution from the health sector.</w:t>
      </w:r>
    </w:p>
    <w:p w:rsidR="00A220CF" w:rsidRPr="00647191" w:rsidRDefault="00A220CF" w:rsidP="00A220CF">
      <w:pPr>
        <w:rPr>
          <w:rFonts w:cs="Arial"/>
        </w:rPr>
      </w:pPr>
    </w:p>
    <w:p w:rsidR="00A220CF" w:rsidRPr="00647191" w:rsidRDefault="00A220CF" w:rsidP="00A220CF">
      <w:pPr>
        <w:rPr>
          <w:rFonts w:cs="Arial"/>
        </w:rPr>
      </w:pPr>
      <w:r w:rsidRPr="00647191">
        <w:rPr>
          <w:rFonts w:cs="Arial"/>
        </w:rPr>
        <w:t>Addressing SDH appropriately is fundamental for improving health and reducing longstanding inequalities in health, which requires action by all sectors and civil society.</w:t>
      </w:r>
    </w:p>
    <w:p w:rsidR="00A220CF" w:rsidRDefault="00A220CF" w:rsidP="001A523A">
      <w:pPr>
        <w:rPr>
          <w:rFonts w:cs="Arial"/>
        </w:rPr>
      </w:pPr>
    </w:p>
    <w:p w:rsidR="001A523A" w:rsidRDefault="00764585" w:rsidP="001A523A">
      <w:pPr>
        <w:rPr>
          <w:rFonts w:cs="Arial"/>
        </w:rPr>
      </w:pPr>
      <w:r w:rsidRPr="00647191">
        <w:rPr>
          <w:rFonts w:cs="Arial"/>
        </w:rPr>
        <w:t xml:space="preserve">The SDH have an important influence on </w:t>
      </w:r>
      <w:r w:rsidRPr="001A523A">
        <w:rPr>
          <w:rFonts w:cs="Arial"/>
          <w:i/>
        </w:rPr>
        <w:t>health inequalities</w:t>
      </w:r>
      <w:r w:rsidRPr="00647191">
        <w:rPr>
          <w:rFonts w:cs="Arial"/>
        </w:rPr>
        <w:t xml:space="preserve"> - the unfair and avoidable differences in health status seen within and between countries. In countries at all levels of income, health and illness follow a social gradient: the lower the socioeconomic position, the worse the health.</w:t>
      </w:r>
      <w:r w:rsidR="001A523A">
        <w:rPr>
          <w:rFonts w:cs="Arial"/>
        </w:rPr>
        <w:t xml:space="preserve"> </w:t>
      </w:r>
      <w:r w:rsidR="001A523A" w:rsidRPr="00647191">
        <w:rPr>
          <w:rFonts w:cs="Arial"/>
        </w:rPr>
        <w:t xml:space="preserve">An example of a health inequality is that people living with severe mental illness have a life expectancy of 15-20 years lower than the general population. </w:t>
      </w:r>
    </w:p>
    <w:p w:rsidR="00982BFE" w:rsidRDefault="00982BFE" w:rsidP="001A523A">
      <w:pPr>
        <w:rPr>
          <w:rFonts w:cs="Arial"/>
        </w:rPr>
      </w:pPr>
    </w:p>
    <w:p w:rsidR="00982BFE" w:rsidRPr="00647191" w:rsidRDefault="00982BFE" w:rsidP="00982BFE">
      <w:pPr>
        <w:rPr>
          <w:rFonts w:cs="Arial"/>
        </w:rPr>
      </w:pPr>
      <w:r w:rsidRPr="00647191">
        <w:rPr>
          <w:rFonts w:cs="Arial"/>
        </w:rPr>
        <w:t xml:space="preserve">The NHS Long Term Plan commits the NHS to a greater focus on prevention and on health inequalities. </w:t>
      </w:r>
    </w:p>
    <w:p w:rsidR="00982BFE" w:rsidRPr="00647191" w:rsidRDefault="00982BFE" w:rsidP="00982BFE">
      <w:pPr>
        <w:rPr>
          <w:rFonts w:cs="Arial"/>
        </w:rPr>
      </w:pPr>
    </w:p>
    <w:p w:rsidR="00D76BED" w:rsidRPr="00D76BED" w:rsidRDefault="00D76BED" w:rsidP="00D76BED">
      <w:pPr>
        <w:rPr>
          <w:rFonts w:cs="Arial"/>
        </w:rPr>
      </w:pPr>
      <w:r w:rsidRPr="00D76BED">
        <w:rPr>
          <w:rFonts w:cs="Arial"/>
        </w:rPr>
        <w:t>Differences in health status and the things that determine it can be experienced by people grouped by a range of factors. In England, health inequalities are often analysed and addressed by policy across four types of factors:</w:t>
      </w:r>
    </w:p>
    <w:p w:rsidR="00D76BED" w:rsidRPr="00D76BED" w:rsidRDefault="00D76BED" w:rsidP="00D76BED">
      <w:pPr>
        <w:rPr>
          <w:rFonts w:cs="Arial"/>
        </w:rPr>
      </w:pPr>
    </w:p>
    <w:p w:rsidR="00D76BED" w:rsidRPr="00D76BED" w:rsidRDefault="00D76BED" w:rsidP="00D76BED">
      <w:pPr>
        <w:pStyle w:val="ListParagraph"/>
        <w:numPr>
          <w:ilvl w:val="0"/>
          <w:numId w:val="42"/>
        </w:numPr>
        <w:rPr>
          <w:rFonts w:ascii="Arial" w:hAnsi="Arial" w:cs="Arial"/>
        </w:rPr>
      </w:pPr>
      <w:r w:rsidRPr="00D76BED">
        <w:rPr>
          <w:rFonts w:ascii="Arial" w:hAnsi="Arial" w:cs="Arial"/>
        </w:rPr>
        <w:t>socio-economic factors, for example, income</w:t>
      </w:r>
    </w:p>
    <w:p w:rsidR="00D76BED" w:rsidRPr="00D76BED" w:rsidRDefault="00D76BED" w:rsidP="00D76BED">
      <w:pPr>
        <w:pStyle w:val="ListParagraph"/>
        <w:numPr>
          <w:ilvl w:val="0"/>
          <w:numId w:val="42"/>
        </w:numPr>
        <w:rPr>
          <w:rFonts w:ascii="Arial" w:hAnsi="Arial" w:cs="Arial"/>
        </w:rPr>
      </w:pPr>
      <w:r w:rsidRPr="00D76BED">
        <w:rPr>
          <w:rFonts w:ascii="Arial" w:hAnsi="Arial" w:cs="Arial"/>
        </w:rPr>
        <w:t>specific characteristics including those protected in law, such as sex, ethnicity or disability</w:t>
      </w:r>
    </w:p>
    <w:p w:rsidR="00D76BED" w:rsidRPr="00D76BED" w:rsidRDefault="00D76BED" w:rsidP="00D76BED">
      <w:pPr>
        <w:pStyle w:val="ListParagraph"/>
        <w:numPr>
          <w:ilvl w:val="0"/>
          <w:numId w:val="42"/>
        </w:numPr>
        <w:rPr>
          <w:rFonts w:ascii="Arial" w:hAnsi="Arial" w:cs="Arial"/>
        </w:rPr>
      </w:pPr>
      <w:r w:rsidRPr="00D76BED">
        <w:rPr>
          <w:rFonts w:ascii="Arial" w:hAnsi="Arial" w:cs="Arial"/>
        </w:rPr>
        <w:t>socially excluded groups, for example, people experiencing homelessness</w:t>
      </w:r>
      <w:r>
        <w:rPr>
          <w:rFonts w:ascii="Arial" w:hAnsi="Arial" w:cs="Arial"/>
        </w:rPr>
        <w:t>, refugees / asylum seekers</w:t>
      </w:r>
      <w:r w:rsidRPr="00D76BED">
        <w:rPr>
          <w:rFonts w:ascii="Arial" w:hAnsi="Arial" w:cs="Arial"/>
        </w:rPr>
        <w:t xml:space="preserve">. </w:t>
      </w:r>
    </w:p>
    <w:p w:rsidR="00982BFE" w:rsidRPr="00D76BED" w:rsidRDefault="00D76BED" w:rsidP="00D76BED">
      <w:pPr>
        <w:pStyle w:val="ListParagraph"/>
        <w:numPr>
          <w:ilvl w:val="0"/>
          <w:numId w:val="42"/>
        </w:numPr>
        <w:rPr>
          <w:rFonts w:ascii="Arial" w:hAnsi="Arial" w:cs="Arial"/>
        </w:rPr>
      </w:pPr>
      <w:r w:rsidRPr="00D76BED">
        <w:rPr>
          <w:rFonts w:ascii="Arial" w:hAnsi="Arial" w:cs="Arial"/>
        </w:rPr>
        <w:lastRenderedPageBreak/>
        <w:t>geography, for example, region or whether urban or rural - u</w:t>
      </w:r>
      <w:r w:rsidR="00982BFE" w:rsidRPr="00D76BED">
        <w:rPr>
          <w:rFonts w:ascii="Arial" w:hAnsi="Arial" w:cs="Arial"/>
        </w:rPr>
        <w:t xml:space="preserve">nder </w:t>
      </w:r>
      <w:r w:rsidR="00545E1F" w:rsidRPr="00D76BED">
        <w:rPr>
          <w:rFonts w:ascii="Arial" w:hAnsi="Arial" w:cs="Arial"/>
        </w:rPr>
        <w:t>s</w:t>
      </w:r>
      <w:r w:rsidR="00545E1F" w:rsidRPr="00D76BED">
        <w:rPr>
          <w:rFonts w:ascii="Arial" w:eastAsia="Times New Roman" w:hAnsi="Arial" w:cs="Arial"/>
          <w:lang w:eastAsia="en-GB"/>
        </w:rPr>
        <w:t>ocial determinants of health and health inequalities</w:t>
      </w:r>
      <w:r w:rsidR="00982BFE" w:rsidRPr="00D76BED">
        <w:rPr>
          <w:rFonts w:ascii="Arial" w:hAnsi="Arial" w:cs="Arial"/>
        </w:rPr>
        <w:t xml:space="preserve">, we will </w:t>
      </w:r>
      <w:r w:rsidR="00982BFE" w:rsidRPr="00D76BED">
        <w:rPr>
          <w:rFonts w:ascii="Arial" w:hAnsi="Arial" w:cs="Arial"/>
          <w:u w:val="single"/>
        </w:rPr>
        <w:t>only</w:t>
      </w:r>
      <w:r w:rsidR="00982BFE" w:rsidRPr="00D76BED">
        <w:rPr>
          <w:rFonts w:ascii="Arial" w:hAnsi="Arial" w:cs="Arial"/>
        </w:rPr>
        <w:t xml:space="preserve"> fund projects that support communities in areas of deprivation within:</w:t>
      </w:r>
    </w:p>
    <w:p w:rsidR="00982BFE" w:rsidRPr="00922074" w:rsidRDefault="00982BFE" w:rsidP="00922074">
      <w:pPr>
        <w:pStyle w:val="ListParagraph"/>
        <w:numPr>
          <w:ilvl w:val="0"/>
          <w:numId w:val="8"/>
        </w:numPr>
        <w:rPr>
          <w:rFonts w:ascii="Arial" w:hAnsi="Arial" w:cs="Arial"/>
        </w:rPr>
      </w:pPr>
      <w:r w:rsidRPr="00647191">
        <w:rPr>
          <w:rFonts w:ascii="Arial" w:hAnsi="Arial" w:cs="Arial"/>
        </w:rPr>
        <w:t>Hastings and Rother</w:t>
      </w:r>
    </w:p>
    <w:p w:rsidR="00982BFE" w:rsidRPr="00647191" w:rsidRDefault="00982BFE" w:rsidP="00982BFE">
      <w:pPr>
        <w:pStyle w:val="ListParagraph"/>
        <w:numPr>
          <w:ilvl w:val="0"/>
          <w:numId w:val="8"/>
        </w:numPr>
        <w:rPr>
          <w:rFonts w:ascii="Arial" w:hAnsi="Arial" w:cs="Arial"/>
        </w:rPr>
      </w:pPr>
      <w:r w:rsidRPr="00647191">
        <w:rPr>
          <w:rFonts w:ascii="Arial" w:hAnsi="Arial" w:cs="Arial"/>
        </w:rPr>
        <w:t>Bognor Regis and Littlehampton</w:t>
      </w:r>
    </w:p>
    <w:p w:rsidR="00982BFE" w:rsidRPr="00647191" w:rsidRDefault="00982BFE" w:rsidP="00982BFE">
      <w:pPr>
        <w:pStyle w:val="ListParagraph"/>
        <w:numPr>
          <w:ilvl w:val="0"/>
          <w:numId w:val="8"/>
        </w:numPr>
        <w:rPr>
          <w:rFonts w:ascii="Arial" w:hAnsi="Arial" w:cs="Arial"/>
        </w:rPr>
      </w:pPr>
      <w:r w:rsidRPr="00647191">
        <w:rPr>
          <w:rFonts w:ascii="Arial" w:hAnsi="Arial" w:cs="Arial"/>
        </w:rPr>
        <w:t>Eastbourne, Hailsham and Seaford</w:t>
      </w:r>
    </w:p>
    <w:p w:rsidR="00982BFE" w:rsidRDefault="00982BFE" w:rsidP="00982BFE">
      <w:pPr>
        <w:pStyle w:val="ListParagraph"/>
        <w:numPr>
          <w:ilvl w:val="0"/>
          <w:numId w:val="8"/>
        </w:numPr>
        <w:rPr>
          <w:rFonts w:ascii="Arial" w:hAnsi="Arial" w:cs="Arial"/>
        </w:rPr>
      </w:pPr>
      <w:r w:rsidRPr="00647191">
        <w:rPr>
          <w:rFonts w:ascii="Arial" w:hAnsi="Arial" w:cs="Arial"/>
        </w:rPr>
        <w:t>Crawley</w:t>
      </w:r>
    </w:p>
    <w:p w:rsidR="00D93A65" w:rsidRDefault="00D93A65" w:rsidP="00982BFE">
      <w:pPr>
        <w:pStyle w:val="ListParagraph"/>
        <w:numPr>
          <w:ilvl w:val="0"/>
          <w:numId w:val="8"/>
        </w:numPr>
        <w:rPr>
          <w:rFonts w:ascii="Arial" w:hAnsi="Arial" w:cs="Arial"/>
        </w:rPr>
      </w:pPr>
      <w:r>
        <w:rPr>
          <w:rFonts w:ascii="Arial" w:hAnsi="Arial" w:cs="Arial"/>
        </w:rPr>
        <w:t>Brighton and Hove</w:t>
      </w:r>
    </w:p>
    <w:p w:rsidR="00931EB0" w:rsidRDefault="00931EB0" w:rsidP="00931EB0">
      <w:pPr>
        <w:rPr>
          <w:rFonts w:cs="Arial"/>
        </w:rPr>
      </w:pPr>
    </w:p>
    <w:p w:rsidR="00931EB0" w:rsidRPr="00801840" w:rsidRDefault="00931EB0" w:rsidP="00744A14">
      <w:pPr>
        <w:pStyle w:val="Heading1"/>
        <w:rPr>
          <w:rFonts w:eastAsia="Calibri"/>
          <w:color w:val="244061" w:themeColor="accent1" w:themeShade="80"/>
        </w:rPr>
      </w:pPr>
      <w:bookmarkStart w:id="28" w:name="_Toc118718683"/>
      <w:bookmarkStart w:id="29" w:name="_Toc118719046"/>
      <w:bookmarkStart w:id="30" w:name="_Toc118719500"/>
      <w:r w:rsidRPr="00801840">
        <w:rPr>
          <w:rFonts w:eastAsia="Calibri"/>
        </w:rPr>
        <w:t xml:space="preserve">Weighting </w:t>
      </w:r>
      <w:r w:rsidR="00F55711">
        <w:rPr>
          <w:rFonts w:eastAsia="Calibri"/>
        </w:rPr>
        <w:t xml:space="preserve">&amp; assessment </w:t>
      </w:r>
      <w:r w:rsidRPr="00801840">
        <w:rPr>
          <w:rFonts w:eastAsia="Calibri"/>
        </w:rPr>
        <w:t>criteria</w:t>
      </w:r>
      <w:bookmarkEnd w:id="28"/>
      <w:bookmarkEnd w:id="29"/>
      <w:bookmarkEnd w:id="30"/>
    </w:p>
    <w:p w:rsidR="00931EB0" w:rsidRDefault="00931EB0" w:rsidP="00931EB0">
      <w:pPr>
        <w:rPr>
          <w:rFonts w:eastAsia="Calibri" w:cs="Arial"/>
        </w:rPr>
      </w:pPr>
    </w:p>
    <w:p w:rsidR="0085755C" w:rsidRDefault="006C21E4" w:rsidP="0085755C">
      <w:pPr>
        <w:rPr>
          <w:rFonts w:cs="Arial"/>
          <w:b/>
          <w:u w:val="single"/>
        </w:rPr>
      </w:pPr>
      <w:r>
        <w:rPr>
          <w:rFonts w:eastAsia="Calibri" w:cs="Arial"/>
        </w:rPr>
        <w:t xml:space="preserve">To give yourself the best chance of understanding what we are looking for in applications, </w:t>
      </w:r>
      <w:r w:rsidR="00E361A6">
        <w:rPr>
          <w:rFonts w:eastAsia="Calibri" w:cs="Arial"/>
        </w:rPr>
        <w:t>read the below criteria carefully</w:t>
      </w:r>
      <w:r>
        <w:rPr>
          <w:rFonts w:eastAsia="Calibri" w:cs="Arial"/>
        </w:rPr>
        <w:t xml:space="preserve">. Each section </w:t>
      </w:r>
      <w:r w:rsidR="00E361A6">
        <w:rPr>
          <w:rFonts w:eastAsia="Calibri" w:cs="Arial"/>
        </w:rPr>
        <w:t xml:space="preserve">of the application form </w:t>
      </w:r>
      <w:r>
        <w:rPr>
          <w:rFonts w:eastAsia="Calibri" w:cs="Arial"/>
        </w:rPr>
        <w:t>is weighted differently, please use the below breakdown to understand how each section is weighted and what we are looking for when we assess</w:t>
      </w:r>
      <w:r w:rsidR="0085755C">
        <w:rPr>
          <w:rFonts w:eastAsia="Calibri" w:cs="Arial"/>
        </w:rPr>
        <w:t xml:space="preserve">. </w:t>
      </w:r>
    </w:p>
    <w:p w:rsidR="00931EB0" w:rsidRDefault="00931EB0" w:rsidP="00931EB0">
      <w:pPr>
        <w:rPr>
          <w:rFonts w:eastAsia="Calibri" w:cs="Arial"/>
        </w:rPr>
      </w:pPr>
    </w:p>
    <w:p w:rsidR="00931EB0" w:rsidRDefault="00931EB0" w:rsidP="00931EB0">
      <w:pPr>
        <w:rPr>
          <w:rFonts w:eastAsia="Calibri" w:cs="Arial"/>
        </w:rPr>
      </w:pPr>
    </w:p>
    <w:p w:rsidR="00931EB0" w:rsidRPr="009F4176" w:rsidRDefault="00931EB0" w:rsidP="00931EB0">
      <w:pPr>
        <w:rPr>
          <w:rFonts w:eastAsia="Calibri" w:cs="Arial"/>
          <w:b/>
          <w:u w:val="single"/>
        </w:rPr>
      </w:pPr>
      <w:r w:rsidRPr="009F4176">
        <w:rPr>
          <w:rFonts w:eastAsia="Calibri" w:cs="Arial"/>
          <w:b/>
          <w:u w:val="single"/>
        </w:rPr>
        <w:t>Reach (15%)</w:t>
      </w:r>
    </w:p>
    <w:p w:rsidR="00931EB0" w:rsidRPr="00A37478" w:rsidRDefault="00931EB0" w:rsidP="00931EB0">
      <w:pPr>
        <w:rPr>
          <w:rFonts w:eastAsia="Calibri" w:cs="Arial"/>
        </w:rPr>
      </w:pPr>
    </w:p>
    <w:p w:rsidR="00931EB0" w:rsidRPr="00A37478" w:rsidRDefault="00931EB0" w:rsidP="00931EB0">
      <w:pPr>
        <w:rPr>
          <w:rFonts w:cs="Arial"/>
          <w:bCs/>
        </w:rPr>
      </w:pPr>
      <w:r w:rsidRPr="00A37478">
        <w:rPr>
          <w:rFonts w:cs="Arial"/>
          <w:bCs/>
        </w:rPr>
        <w:t xml:space="preserve">Who will benefit from your proposed project? </w:t>
      </w:r>
      <w:bookmarkStart w:id="31" w:name="_GoBack"/>
      <w:bookmarkEnd w:id="31"/>
    </w:p>
    <w:p w:rsidR="00931EB0" w:rsidRPr="00A37478" w:rsidRDefault="00931EB0" w:rsidP="00931EB0">
      <w:pPr>
        <w:rPr>
          <w:rFonts w:cs="Arial"/>
          <w:bCs/>
        </w:rPr>
      </w:pPr>
      <w:r w:rsidRPr="00A37478">
        <w:rPr>
          <w:rFonts w:cs="Arial"/>
          <w:bCs/>
        </w:rPr>
        <w:t xml:space="preserve">How many people will you work with directly? </w:t>
      </w:r>
    </w:p>
    <w:p w:rsidR="00931EB0" w:rsidRPr="00A37478" w:rsidRDefault="00931EB0" w:rsidP="00931EB0">
      <w:pPr>
        <w:rPr>
          <w:rFonts w:cs="Arial"/>
          <w:bCs/>
        </w:rPr>
      </w:pPr>
      <w:r w:rsidRPr="00A37478">
        <w:rPr>
          <w:rFonts w:cs="Arial"/>
          <w:bCs/>
        </w:rPr>
        <w:t xml:space="preserve">What is your track record of working with this group of people? </w:t>
      </w:r>
    </w:p>
    <w:p w:rsidR="00931EB0" w:rsidRPr="00A37478" w:rsidRDefault="00931EB0" w:rsidP="00931EB0">
      <w:pPr>
        <w:rPr>
          <w:rFonts w:cs="Arial"/>
          <w:bCs/>
        </w:rPr>
      </w:pPr>
      <w:r w:rsidRPr="00A37478">
        <w:rPr>
          <w:rFonts w:cs="Arial"/>
          <w:bCs/>
        </w:rPr>
        <w:t xml:space="preserve">How will you undertake co-design with people who will benefit from the project? </w:t>
      </w:r>
    </w:p>
    <w:p w:rsidR="00931EB0" w:rsidRDefault="00931EB0" w:rsidP="00931EB0">
      <w:pPr>
        <w:rPr>
          <w:rFonts w:cs="Arial"/>
          <w:bCs/>
        </w:rPr>
      </w:pPr>
      <w:r w:rsidRPr="00A37478">
        <w:rPr>
          <w:rFonts w:cs="Arial"/>
          <w:bCs/>
        </w:rPr>
        <w:t xml:space="preserve">What signposting or referral pathways will you put in place to reach the right people? How will you engage people in this project? </w:t>
      </w:r>
    </w:p>
    <w:p w:rsidR="00931EB0" w:rsidRDefault="00931EB0" w:rsidP="00931EB0">
      <w:pPr>
        <w:rPr>
          <w:rFonts w:cs="Arial"/>
          <w:bCs/>
        </w:rPr>
      </w:pPr>
    </w:p>
    <w:p w:rsidR="00931EB0" w:rsidRPr="00A37478" w:rsidRDefault="00931EB0" w:rsidP="00931EB0">
      <w:pPr>
        <w:rPr>
          <w:rFonts w:cs="Arial"/>
          <w:bCs/>
        </w:rPr>
      </w:pPr>
      <w:r>
        <w:rPr>
          <w:rFonts w:cs="Arial"/>
          <w:bCs/>
        </w:rPr>
        <w:t xml:space="preserve">We would expect to see clear evidence of co-design/user led design </w:t>
      </w:r>
      <w:r w:rsidR="006C21E4">
        <w:rPr>
          <w:rFonts w:cs="Arial"/>
          <w:bCs/>
        </w:rPr>
        <w:t xml:space="preserve">and delivery of service </w:t>
      </w:r>
      <w:r>
        <w:rPr>
          <w:rFonts w:cs="Arial"/>
          <w:bCs/>
        </w:rPr>
        <w:t>as part of this answer</w:t>
      </w:r>
      <w:r w:rsidR="0085755C">
        <w:rPr>
          <w:rFonts w:cs="Arial"/>
          <w:bCs/>
        </w:rPr>
        <w:t>.</w:t>
      </w:r>
    </w:p>
    <w:p w:rsidR="00931EB0" w:rsidRPr="00A37478" w:rsidRDefault="00931EB0" w:rsidP="00931EB0">
      <w:pPr>
        <w:rPr>
          <w:rFonts w:eastAsia="Calibri" w:cs="Arial"/>
        </w:rPr>
      </w:pPr>
    </w:p>
    <w:p w:rsidR="00931EB0" w:rsidRPr="00642FFA" w:rsidRDefault="00931EB0" w:rsidP="00931EB0">
      <w:pPr>
        <w:rPr>
          <w:rFonts w:eastAsia="Calibri" w:cs="Arial"/>
          <w:b/>
          <w:u w:val="single"/>
        </w:rPr>
      </w:pPr>
      <w:r w:rsidRPr="00642FFA">
        <w:rPr>
          <w:rFonts w:eastAsia="Calibri" w:cs="Arial"/>
          <w:b/>
          <w:u w:val="single"/>
        </w:rPr>
        <w:t>Innovation/Build (20%)</w:t>
      </w:r>
    </w:p>
    <w:p w:rsidR="00931EB0" w:rsidRPr="00A37478" w:rsidRDefault="00931EB0" w:rsidP="00931EB0">
      <w:pPr>
        <w:rPr>
          <w:rFonts w:eastAsia="Calibri" w:cs="Arial"/>
        </w:rPr>
      </w:pPr>
    </w:p>
    <w:p w:rsidR="00931EB0" w:rsidRDefault="00931EB0" w:rsidP="00931EB0">
      <w:pPr>
        <w:rPr>
          <w:rFonts w:cs="Arial"/>
        </w:rPr>
      </w:pPr>
      <w:r w:rsidRPr="00A37478">
        <w:rPr>
          <w:rFonts w:cs="Arial"/>
        </w:rPr>
        <w:t>Please describe the innovation within your project? Are you testing a new approach? Or testing an existing approach in a new area?</w:t>
      </w:r>
    </w:p>
    <w:p w:rsidR="00931EB0" w:rsidRDefault="00931EB0" w:rsidP="00931EB0">
      <w:pPr>
        <w:rPr>
          <w:rFonts w:eastAsia="Calibri" w:cs="Arial"/>
        </w:rPr>
      </w:pPr>
    </w:p>
    <w:p w:rsidR="00931EB0" w:rsidRDefault="00931EB0" w:rsidP="00931EB0">
      <w:pPr>
        <w:rPr>
          <w:rFonts w:eastAsia="Calibri" w:cs="Arial"/>
        </w:rPr>
      </w:pPr>
      <w:r>
        <w:rPr>
          <w:rFonts w:eastAsia="Calibri" w:cs="Arial"/>
        </w:rPr>
        <w:t>Or</w:t>
      </w:r>
    </w:p>
    <w:p w:rsidR="00931EB0" w:rsidRPr="0015280E" w:rsidRDefault="00931EB0" w:rsidP="00931EB0">
      <w:pPr>
        <w:rPr>
          <w:rFonts w:eastAsia="Calibri" w:cs="Arial"/>
        </w:rPr>
      </w:pPr>
    </w:p>
    <w:p w:rsidR="00931EB0" w:rsidRDefault="00931EB0" w:rsidP="00931EB0">
      <w:pPr>
        <w:rPr>
          <w:rFonts w:cs="Arial"/>
        </w:rPr>
      </w:pPr>
      <w:r w:rsidRPr="0015280E">
        <w:rPr>
          <w:rFonts w:cs="Arial"/>
        </w:rPr>
        <w:t>What existing work / successes is this project building on? What evidence is there of the success, and therefore the need to scale-up?</w:t>
      </w:r>
    </w:p>
    <w:p w:rsidR="006C21E4" w:rsidRPr="0015280E" w:rsidRDefault="006C21E4" w:rsidP="00931EB0">
      <w:pPr>
        <w:rPr>
          <w:rFonts w:eastAsia="Calibri" w:cs="Arial"/>
        </w:rPr>
      </w:pPr>
    </w:p>
    <w:p w:rsidR="00931EB0" w:rsidRPr="00A37478" w:rsidRDefault="00931EB0" w:rsidP="00931EB0">
      <w:pPr>
        <w:rPr>
          <w:rFonts w:eastAsia="Calibri" w:cs="Arial"/>
        </w:rPr>
      </w:pPr>
    </w:p>
    <w:p w:rsidR="00931EB0" w:rsidRPr="00642FFA" w:rsidRDefault="00931EB0" w:rsidP="00931EB0">
      <w:pPr>
        <w:rPr>
          <w:rFonts w:eastAsia="Calibri" w:cs="Arial"/>
          <w:b/>
          <w:u w:val="single"/>
        </w:rPr>
      </w:pPr>
      <w:r w:rsidRPr="00642FFA">
        <w:rPr>
          <w:rFonts w:eastAsia="Calibri" w:cs="Arial"/>
          <w:b/>
          <w:u w:val="single"/>
        </w:rPr>
        <w:t>Impact (40%)</w:t>
      </w:r>
    </w:p>
    <w:p w:rsidR="00931EB0" w:rsidRPr="0015280E" w:rsidRDefault="00931EB0" w:rsidP="00931EB0">
      <w:pPr>
        <w:rPr>
          <w:rFonts w:eastAsia="Calibri" w:cs="Arial"/>
        </w:rPr>
      </w:pPr>
    </w:p>
    <w:p w:rsidR="00931EB0" w:rsidRDefault="00931EB0" w:rsidP="00931EB0">
      <w:pPr>
        <w:rPr>
          <w:rFonts w:cs="Arial"/>
          <w:bCs/>
        </w:rPr>
      </w:pPr>
      <w:r w:rsidRPr="0015280E">
        <w:rPr>
          <w:rFonts w:cs="Arial"/>
          <w:bCs/>
        </w:rPr>
        <w:t xml:space="preserve">What difference will your project make to its intended beneficiaries? What evidence is there to support this need? How will you measure and evidence the difference it makes? How will the project provide a lasting benefit? </w:t>
      </w:r>
    </w:p>
    <w:p w:rsidR="00931EB0" w:rsidRDefault="00931EB0" w:rsidP="00931EB0">
      <w:pPr>
        <w:rPr>
          <w:rFonts w:cs="Arial"/>
          <w:bCs/>
        </w:rPr>
      </w:pPr>
    </w:p>
    <w:p w:rsidR="00931EB0" w:rsidRDefault="00931EB0" w:rsidP="00931EB0">
      <w:pPr>
        <w:rPr>
          <w:rFonts w:cs="Arial"/>
          <w:bCs/>
        </w:rPr>
      </w:pPr>
      <w:r>
        <w:rPr>
          <w:rFonts w:cs="Arial"/>
          <w:bCs/>
        </w:rPr>
        <w:t xml:space="preserve">We need to know what the short term and </w:t>
      </w:r>
      <w:r w:rsidR="0085755C">
        <w:rPr>
          <w:rFonts w:cs="Arial"/>
          <w:bCs/>
        </w:rPr>
        <w:t>long-term</w:t>
      </w:r>
      <w:r>
        <w:rPr>
          <w:rFonts w:cs="Arial"/>
          <w:bCs/>
        </w:rPr>
        <w:t xml:space="preserve"> impact of the project will be for the people that will take part in it. How will you know the project has made a difference and crucially how will the beneficiaries </w:t>
      </w:r>
      <w:r w:rsidR="0085755C">
        <w:rPr>
          <w:rFonts w:cs="Arial"/>
          <w:bCs/>
        </w:rPr>
        <w:t>know?</w:t>
      </w:r>
      <w:r>
        <w:rPr>
          <w:rFonts w:cs="Arial"/>
          <w:bCs/>
        </w:rPr>
        <w:t xml:space="preserve"> What does impact look like to them?</w:t>
      </w:r>
    </w:p>
    <w:p w:rsidR="009F4176" w:rsidRPr="0015280E" w:rsidRDefault="009F4176" w:rsidP="00931EB0">
      <w:pPr>
        <w:rPr>
          <w:rFonts w:cs="Arial"/>
          <w:bCs/>
        </w:rPr>
      </w:pPr>
    </w:p>
    <w:p w:rsidR="00931EB0" w:rsidRPr="00A37478" w:rsidRDefault="00931EB0" w:rsidP="00931EB0">
      <w:pPr>
        <w:rPr>
          <w:rFonts w:eastAsia="Calibri" w:cs="Arial"/>
        </w:rPr>
      </w:pPr>
    </w:p>
    <w:p w:rsidR="00931EB0" w:rsidRPr="00642FFA" w:rsidRDefault="00931EB0" w:rsidP="00931EB0">
      <w:pPr>
        <w:rPr>
          <w:rFonts w:eastAsia="Calibri" w:cs="Arial"/>
          <w:b/>
          <w:u w:val="single"/>
        </w:rPr>
      </w:pPr>
      <w:r w:rsidRPr="00642FFA">
        <w:rPr>
          <w:rFonts w:eastAsia="Calibri" w:cs="Arial"/>
          <w:b/>
          <w:u w:val="single"/>
        </w:rPr>
        <w:lastRenderedPageBreak/>
        <w:t>Collaboration or partnership (15%)</w:t>
      </w:r>
    </w:p>
    <w:p w:rsidR="00931EB0" w:rsidRDefault="00931EB0" w:rsidP="00931EB0">
      <w:pPr>
        <w:rPr>
          <w:rFonts w:eastAsia="Calibri" w:cs="Arial"/>
        </w:rPr>
      </w:pPr>
    </w:p>
    <w:p w:rsidR="00931EB0" w:rsidRPr="0015280E" w:rsidRDefault="00931EB0" w:rsidP="00931EB0">
      <w:pPr>
        <w:rPr>
          <w:rFonts w:cs="Arial"/>
          <w:bCs/>
        </w:rPr>
      </w:pPr>
      <w:r w:rsidRPr="0015280E">
        <w:rPr>
          <w:rFonts w:cs="Arial"/>
          <w:bCs/>
        </w:rPr>
        <w:t>Are any other organisations or partners involved in delivering this project? Please tell us who will oversee the delivery of your project, including details of any specific skills, experience or expertise they bring.</w:t>
      </w:r>
    </w:p>
    <w:p w:rsidR="00931EB0" w:rsidRPr="0015280E" w:rsidRDefault="00931EB0" w:rsidP="00931EB0">
      <w:pPr>
        <w:rPr>
          <w:rFonts w:eastAsia="Calibri" w:cs="Arial"/>
        </w:rPr>
      </w:pPr>
    </w:p>
    <w:p w:rsidR="00931EB0" w:rsidRDefault="00931EB0" w:rsidP="00931EB0">
      <w:pPr>
        <w:rPr>
          <w:rFonts w:cs="Arial"/>
          <w:bCs/>
        </w:rPr>
      </w:pPr>
      <w:r w:rsidRPr="0015280E">
        <w:rPr>
          <w:rFonts w:cs="Arial"/>
          <w:bCs/>
        </w:rPr>
        <w:t xml:space="preserve">An aim of community mental health transformation is to enable greater connectivity and collaboration across local VCSE mental health services. Please describe your current local VCSE partnerships and how you will look to further develop them in the delivery of your proposed project.  </w:t>
      </w:r>
    </w:p>
    <w:p w:rsidR="00931EB0" w:rsidRDefault="00931EB0" w:rsidP="00931EB0">
      <w:pPr>
        <w:rPr>
          <w:rFonts w:cs="Arial"/>
          <w:bCs/>
        </w:rPr>
      </w:pPr>
    </w:p>
    <w:p w:rsidR="00931EB0" w:rsidRPr="0015280E" w:rsidRDefault="00931EB0" w:rsidP="00931EB0">
      <w:pPr>
        <w:rPr>
          <w:rFonts w:cs="Arial"/>
          <w:bCs/>
        </w:rPr>
      </w:pPr>
      <w:r>
        <w:rPr>
          <w:rFonts w:cs="Arial"/>
          <w:bCs/>
        </w:rPr>
        <w:t>Here we would expect to see illustrated how organisations work with other VCSE organisations, who do you work with, who do you signpost to, who signposts to you, who are your collaborators, where do you fit within this?</w:t>
      </w:r>
    </w:p>
    <w:p w:rsidR="00931EB0" w:rsidRDefault="00931EB0" w:rsidP="00931EB0">
      <w:pPr>
        <w:rPr>
          <w:rFonts w:eastAsia="Calibri" w:cs="Arial"/>
        </w:rPr>
      </w:pPr>
    </w:p>
    <w:p w:rsidR="00931EB0" w:rsidRPr="00642FFA" w:rsidRDefault="00931EB0" w:rsidP="00931EB0">
      <w:pPr>
        <w:rPr>
          <w:rFonts w:eastAsia="Calibri" w:cs="Arial"/>
          <w:b/>
          <w:u w:val="single"/>
        </w:rPr>
      </w:pPr>
      <w:r w:rsidRPr="00642FFA">
        <w:rPr>
          <w:rFonts w:eastAsia="Calibri" w:cs="Arial"/>
          <w:b/>
          <w:u w:val="single"/>
        </w:rPr>
        <w:t>Sustainability and Learning (5%)</w:t>
      </w:r>
    </w:p>
    <w:p w:rsidR="00931EB0" w:rsidRPr="0015280E" w:rsidRDefault="00931EB0" w:rsidP="00931EB0">
      <w:pPr>
        <w:rPr>
          <w:rFonts w:eastAsia="Calibri" w:cs="Arial"/>
        </w:rPr>
      </w:pPr>
    </w:p>
    <w:p w:rsidR="00931EB0" w:rsidRDefault="00931EB0" w:rsidP="00931EB0">
      <w:pPr>
        <w:rPr>
          <w:rFonts w:cs="Arial"/>
        </w:rPr>
      </w:pPr>
      <w:r w:rsidRPr="0015280E">
        <w:rPr>
          <w:rFonts w:cs="Arial"/>
        </w:rPr>
        <w:t xml:space="preserve">Will this project continue in the future without funding from </w:t>
      </w:r>
      <w:r w:rsidRPr="0015280E">
        <w:rPr>
          <w:rFonts w:cs="Arial"/>
          <w:b/>
        </w:rPr>
        <w:t>Sussex Health and Care Partnership Mental Health Collaborative</w:t>
      </w:r>
      <w:r w:rsidRPr="0015280E">
        <w:rPr>
          <w:rFonts w:cs="Arial"/>
        </w:rPr>
        <w:t>? What might be learnt from this project (for example, piloting new models or service delivery, developing new technology etc), how could this benefit others, and how could it be shared with others?</w:t>
      </w:r>
    </w:p>
    <w:p w:rsidR="00931EB0" w:rsidRDefault="00931EB0" w:rsidP="00931EB0">
      <w:pPr>
        <w:rPr>
          <w:rFonts w:eastAsia="Calibri" w:cs="Arial"/>
        </w:rPr>
      </w:pPr>
    </w:p>
    <w:p w:rsidR="00931EB0" w:rsidRDefault="00931EB0" w:rsidP="00931EB0">
      <w:pPr>
        <w:rPr>
          <w:rFonts w:eastAsia="Calibri" w:cs="Arial"/>
        </w:rPr>
      </w:pPr>
      <w:r>
        <w:rPr>
          <w:rFonts w:eastAsia="Calibri" w:cs="Arial"/>
        </w:rPr>
        <w:t>Here we would want to see how the project will continue after the grant ends, and specifically who do you think could fund it afterwards? We understand that pilots may be assessed to determine their success, but if the project is a success what will you do to make sure it continues? How will you disseminate learnings from the project</w:t>
      </w:r>
      <w:r w:rsidR="009F4176">
        <w:rPr>
          <w:rFonts w:eastAsia="Calibri" w:cs="Arial"/>
        </w:rPr>
        <w:t xml:space="preserve"> both</w:t>
      </w:r>
      <w:r>
        <w:rPr>
          <w:rFonts w:eastAsia="Calibri" w:cs="Arial"/>
        </w:rPr>
        <w:t xml:space="preserve"> internally and within your wider networks to strengthen best practice?</w:t>
      </w:r>
      <w:r w:rsidR="006C21E4">
        <w:rPr>
          <w:rFonts w:eastAsia="Calibri" w:cs="Arial"/>
        </w:rPr>
        <w:t xml:space="preserve"> </w:t>
      </w:r>
      <w:r w:rsidR="00A542AD">
        <w:rPr>
          <w:rFonts w:eastAsia="Calibri" w:cs="Arial"/>
        </w:rPr>
        <w:t>Could</w:t>
      </w:r>
      <w:r w:rsidR="0085755C">
        <w:rPr>
          <w:rFonts w:eastAsia="Calibri" w:cs="Arial"/>
        </w:rPr>
        <w:t xml:space="preserve"> </w:t>
      </w:r>
      <w:r w:rsidR="006C21E4">
        <w:rPr>
          <w:rFonts w:eastAsia="Calibri" w:cs="Arial"/>
        </w:rPr>
        <w:t xml:space="preserve">this project fit into </w:t>
      </w:r>
      <w:r w:rsidR="009F4176">
        <w:rPr>
          <w:rFonts w:eastAsia="Calibri" w:cs="Arial"/>
        </w:rPr>
        <w:t>the</w:t>
      </w:r>
      <w:r w:rsidR="006C21E4">
        <w:rPr>
          <w:rFonts w:eastAsia="Calibri" w:cs="Arial"/>
        </w:rPr>
        <w:t xml:space="preserve"> wider context of future funding from government, </w:t>
      </w:r>
      <w:r w:rsidR="009F4176">
        <w:rPr>
          <w:rFonts w:eastAsia="Calibri" w:cs="Arial"/>
        </w:rPr>
        <w:t>fundraised income</w:t>
      </w:r>
      <w:r w:rsidR="006C21E4">
        <w:rPr>
          <w:rFonts w:eastAsia="Calibri" w:cs="Arial"/>
        </w:rPr>
        <w:t>,</w:t>
      </w:r>
      <w:r w:rsidR="00A542AD">
        <w:rPr>
          <w:rFonts w:eastAsia="Calibri" w:cs="Arial"/>
        </w:rPr>
        <w:t xml:space="preserve"> commissioned or grant funding</w:t>
      </w:r>
      <w:r w:rsidR="0085755C">
        <w:rPr>
          <w:rFonts w:eastAsia="Calibri" w:cs="Arial"/>
        </w:rPr>
        <w:t xml:space="preserve"> or would it be developed into a core service</w:t>
      </w:r>
      <w:r w:rsidR="00A542AD">
        <w:rPr>
          <w:rFonts w:eastAsia="Calibri" w:cs="Arial"/>
        </w:rPr>
        <w:t>?</w:t>
      </w:r>
    </w:p>
    <w:p w:rsidR="009F4176" w:rsidRDefault="009F4176" w:rsidP="00931EB0">
      <w:pPr>
        <w:rPr>
          <w:rFonts w:eastAsia="Calibri" w:cs="Arial"/>
        </w:rPr>
      </w:pPr>
    </w:p>
    <w:p w:rsidR="00931EB0" w:rsidRPr="0015280E" w:rsidRDefault="00931EB0" w:rsidP="00931EB0">
      <w:pPr>
        <w:rPr>
          <w:rFonts w:eastAsia="Calibri" w:cs="Arial"/>
        </w:rPr>
      </w:pPr>
    </w:p>
    <w:p w:rsidR="00931EB0" w:rsidRPr="00642FFA" w:rsidRDefault="00931EB0" w:rsidP="00931EB0">
      <w:pPr>
        <w:rPr>
          <w:rFonts w:eastAsia="Calibri" w:cs="Arial"/>
          <w:b/>
          <w:u w:val="single"/>
        </w:rPr>
      </w:pPr>
      <w:r w:rsidRPr="00642FFA">
        <w:rPr>
          <w:rFonts w:eastAsia="Calibri" w:cs="Arial"/>
          <w:b/>
          <w:u w:val="single"/>
        </w:rPr>
        <w:t>Funding (5%)</w:t>
      </w:r>
    </w:p>
    <w:p w:rsidR="00931EB0" w:rsidRDefault="00931EB0" w:rsidP="00931EB0">
      <w:pPr>
        <w:rPr>
          <w:rFonts w:eastAsia="Calibri" w:cs="Arial"/>
        </w:rPr>
      </w:pPr>
    </w:p>
    <w:p w:rsidR="00931EB0" w:rsidRPr="00801840" w:rsidRDefault="00931EB0" w:rsidP="00801840">
      <w:pPr>
        <w:rPr>
          <w:rFonts w:eastAsia="Calibri" w:cs="Arial"/>
        </w:rPr>
      </w:pPr>
      <w:r>
        <w:rPr>
          <w:rFonts w:eastAsia="Calibri" w:cs="Arial"/>
        </w:rPr>
        <w:t>Clear budget with value for money and social impact made clear</w:t>
      </w:r>
    </w:p>
    <w:p w:rsidR="00931EB0" w:rsidRDefault="00931EB0" w:rsidP="000E1827">
      <w:pPr>
        <w:ind w:left="360"/>
        <w:rPr>
          <w:rFonts w:cs="Arial"/>
        </w:rPr>
      </w:pPr>
    </w:p>
    <w:p w:rsidR="00931EB0" w:rsidRDefault="00931EB0" w:rsidP="000E1827">
      <w:pPr>
        <w:ind w:left="360"/>
        <w:rPr>
          <w:rFonts w:cs="Arial"/>
        </w:rPr>
      </w:pPr>
    </w:p>
    <w:p w:rsidR="00F2529B" w:rsidRPr="00801840" w:rsidRDefault="00F2529B" w:rsidP="00744A14">
      <w:pPr>
        <w:pStyle w:val="Heading1"/>
      </w:pPr>
      <w:bookmarkStart w:id="32" w:name="_Toc118718684"/>
      <w:bookmarkStart w:id="33" w:name="_Toc118719047"/>
      <w:bookmarkStart w:id="34" w:name="_Toc118719501"/>
      <w:r w:rsidRPr="00801840">
        <w:t>Eligibility</w:t>
      </w:r>
      <w:bookmarkEnd w:id="32"/>
      <w:bookmarkEnd w:id="33"/>
      <w:bookmarkEnd w:id="34"/>
      <w:r w:rsidRPr="00801840">
        <w:t xml:space="preserve"> </w:t>
      </w:r>
    </w:p>
    <w:p w:rsidR="00F2529B" w:rsidRPr="00647191" w:rsidRDefault="00F2529B" w:rsidP="00F2529B">
      <w:pPr>
        <w:rPr>
          <w:rFonts w:cs="Arial"/>
          <w:b/>
        </w:rPr>
      </w:pPr>
    </w:p>
    <w:p w:rsidR="00F2529B" w:rsidRPr="00647191" w:rsidRDefault="00F2529B" w:rsidP="00F2529B">
      <w:pPr>
        <w:rPr>
          <w:rFonts w:cs="Arial"/>
          <w:b/>
        </w:rPr>
      </w:pPr>
      <w:r w:rsidRPr="00647191">
        <w:rPr>
          <w:rFonts w:cs="Arial"/>
          <w:b/>
        </w:rPr>
        <w:t>Who will we fund?</w:t>
      </w:r>
    </w:p>
    <w:p w:rsidR="00C35B79" w:rsidRPr="00647191" w:rsidRDefault="00F2529B" w:rsidP="00A955CF">
      <w:pPr>
        <w:rPr>
          <w:rFonts w:cs="Arial"/>
        </w:rPr>
      </w:pPr>
      <w:r w:rsidRPr="00647191">
        <w:rPr>
          <w:rFonts w:cs="Arial"/>
        </w:rPr>
        <w:t>We will only fund organisations from the voluntary, community or social enterprise sector (VCSE)</w:t>
      </w:r>
      <w:r w:rsidR="00AB1305" w:rsidRPr="00647191">
        <w:rPr>
          <w:rFonts w:cs="Arial"/>
        </w:rPr>
        <w:t xml:space="preserve">. </w:t>
      </w:r>
    </w:p>
    <w:p w:rsidR="00E5180E" w:rsidRPr="00647191" w:rsidRDefault="00E5180E" w:rsidP="00A955CF">
      <w:pPr>
        <w:rPr>
          <w:rFonts w:cs="Arial"/>
        </w:rPr>
      </w:pPr>
    </w:p>
    <w:p w:rsidR="00A955CF" w:rsidRPr="00647191" w:rsidRDefault="00287BFF" w:rsidP="00A955CF">
      <w:pPr>
        <w:rPr>
          <w:rFonts w:cs="Arial"/>
          <w:highlight w:val="yellow"/>
        </w:rPr>
      </w:pPr>
      <w:r w:rsidRPr="00291099">
        <w:rPr>
          <w:rFonts w:cs="Arial"/>
        </w:rPr>
        <w:t>We recognise the important work being undertaken by organisations that might not meet all eligibility criteria e.g. newly established organisations</w:t>
      </w:r>
      <w:r w:rsidR="00A955CF" w:rsidRPr="00291099">
        <w:rPr>
          <w:rFonts w:cs="Arial"/>
        </w:rPr>
        <w:t>, and would therefore still fund such organisations if they are part of a joint application. The lead applicant would need t</w:t>
      </w:r>
      <w:r w:rsidRPr="00291099">
        <w:rPr>
          <w:rFonts w:cs="Arial"/>
        </w:rPr>
        <w:t xml:space="preserve">o meet all eligibility criteria. </w:t>
      </w:r>
      <w:r w:rsidR="00A955CF" w:rsidRPr="00291099">
        <w:rPr>
          <w:rFonts w:cs="Arial"/>
        </w:rPr>
        <w:t xml:space="preserve"> </w:t>
      </w:r>
    </w:p>
    <w:p w:rsidR="00920F90" w:rsidRPr="00647191" w:rsidRDefault="00920F90" w:rsidP="00F2529B">
      <w:pPr>
        <w:rPr>
          <w:rFonts w:cs="Arial"/>
        </w:rPr>
      </w:pPr>
    </w:p>
    <w:p w:rsidR="00694F31" w:rsidRPr="00647191" w:rsidRDefault="00932638" w:rsidP="00694F31">
      <w:pPr>
        <w:rPr>
          <w:rFonts w:eastAsiaTheme="majorEastAsia" w:cs="Arial"/>
        </w:rPr>
      </w:pPr>
      <w:r w:rsidRPr="00647191">
        <w:rPr>
          <w:rFonts w:eastAsiaTheme="majorEastAsia" w:cs="Arial"/>
        </w:rPr>
        <w:t xml:space="preserve">Lead </w:t>
      </w:r>
      <w:r w:rsidR="00694F31" w:rsidRPr="00647191">
        <w:rPr>
          <w:rFonts w:eastAsiaTheme="majorEastAsia" w:cs="Arial"/>
        </w:rPr>
        <w:t xml:space="preserve">Applicant organisations must: </w:t>
      </w:r>
    </w:p>
    <w:p w:rsidR="00694F31" w:rsidRPr="00647191" w:rsidRDefault="00694F31" w:rsidP="00694F31">
      <w:pPr>
        <w:pStyle w:val="ListParagraph"/>
        <w:numPr>
          <w:ilvl w:val="0"/>
          <w:numId w:val="26"/>
        </w:numPr>
        <w:spacing w:line="240" w:lineRule="auto"/>
        <w:rPr>
          <w:rFonts w:ascii="Arial" w:eastAsiaTheme="majorEastAsia" w:hAnsi="Arial" w:cs="Arial"/>
        </w:rPr>
      </w:pPr>
      <w:r w:rsidRPr="00647191">
        <w:rPr>
          <w:rFonts w:ascii="Arial" w:eastAsiaTheme="majorEastAsia" w:hAnsi="Arial" w:cs="Arial"/>
        </w:rPr>
        <w:t>Be not for profit - meaning organisations:</w:t>
      </w:r>
    </w:p>
    <w:p w:rsidR="00694F31" w:rsidRPr="00647191" w:rsidRDefault="00694F31" w:rsidP="00694F31">
      <w:pPr>
        <w:pStyle w:val="ListParagraph"/>
        <w:numPr>
          <w:ilvl w:val="0"/>
          <w:numId w:val="27"/>
        </w:numPr>
        <w:spacing w:line="240" w:lineRule="auto"/>
        <w:rPr>
          <w:rFonts w:ascii="Arial" w:eastAsiaTheme="majorEastAsia" w:hAnsi="Arial" w:cs="Arial"/>
        </w:rPr>
      </w:pPr>
      <w:r w:rsidRPr="00647191">
        <w:rPr>
          <w:rFonts w:ascii="Arial" w:eastAsiaTheme="majorEastAsia" w:hAnsi="Arial" w:cs="Arial"/>
        </w:rPr>
        <w:t>Who have charitable status (registered with the charity commission)</w:t>
      </w:r>
    </w:p>
    <w:p w:rsidR="00694F31" w:rsidRPr="00647191" w:rsidRDefault="00694F31" w:rsidP="00694F31">
      <w:pPr>
        <w:pStyle w:val="ListParagraph"/>
        <w:numPr>
          <w:ilvl w:val="0"/>
          <w:numId w:val="27"/>
        </w:numPr>
        <w:spacing w:line="240" w:lineRule="auto"/>
        <w:rPr>
          <w:rFonts w:ascii="Arial" w:eastAsiaTheme="majorEastAsia" w:hAnsi="Arial" w:cs="Arial"/>
        </w:rPr>
      </w:pPr>
      <w:r w:rsidRPr="00647191">
        <w:rPr>
          <w:rFonts w:ascii="Arial" w:eastAsiaTheme="majorEastAsia" w:hAnsi="Arial" w:cs="Arial"/>
        </w:rPr>
        <w:t>Who are social enterprises, CICs and Companies Limited by Guarantee carrying out activities which are charitable. However, these organisations must have:</w:t>
      </w:r>
    </w:p>
    <w:p w:rsidR="00694F31" w:rsidRPr="00647191" w:rsidRDefault="00694F31" w:rsidP="00694F31">
      <w:pPr>
        <w:pStyle w:val="ListParagraph"/>
        <w:numPr>
          <w:ilvl w:val="0"/>
          <w:numId w:val="28"/>
        </w:numPr>
        <w:spacing w:line="240" w:lineRule="auto"/>
        <w:rPr>
          <w:rFonts w:ascii="Arial" w:eastAsiaTheme="majorEastAsia" w:hAnsi="Arial" w:cs="Arial"/>
        </w:rPr>
      </w:pPr>
      <w:r w:rsidRPr="00647191">
        <w:rPr>
          <w:rFonts w:ascii="Arial" w:eastAsiaTheme="majorEastAsia" w:hAnsi="Arial" w:cs="Arial"/>
        </w:rPr>
        <w:t>Demonstrable public benefit and clear protection against private benefit</w:t>
      </w:r>
    </w:p>
    <w:p w:rsidR="00694F31" w:rsidRPr="00647191" w:rsidRDefault="00694F31" w:rsidP="00694F31">
      <w:pPr>
        <w:pStyle w:val="ListParagraph"/>
        <w:numPr>
          <w:ilvl w:val="0"/>
          <w:numId w:val="28"/>
        </w:numPr>
        <w:spacing w:line="240" w:lineRule="auto"/>
        <w:rPr>
          <w:rFonts w:ascii="Arial" w:eastAsiaTheme="majorEastAsia" w:hAnsi="Arial" w:cs="Arial"/>
        </w:rPr>
      </w:pPr>
      <w:r w:rsidRPr="00647191">
        <w:rPr>
          <w:rFonts w:ascii="Arial" w:eastAsiaTheme="majorEastAsia" w:hAnsi="Arial" w:cs="Arial"/>
        </w:rPr>
        <w:lastRenderedPageBreak/>
        <w:t>A minimum of three unrelated directors, the majority of whom are not paid either as directors or for delivering the activities of the organization (if some are related there must be at least three who are not)</w:t>
      </w:r>
    </w:p>
    <w:p w:rsidR="00694F31" w:rsidRPr="00647191" w:rsidRDefault="00694F31" w:rsidP="00694F31">
      <w:pPr>
        <w:pStyle w:val="ListParagraph"/>
        <w:numPr>
          <w:ilvl w:val="0"/>
          <w:numId w:val="28"/>
        </w:numPr>
        <w:spacing w:line="240" w:lineRule="auto"/>
        <w:rPr>
          <w:rFonts w:ascii="Arial" w:eastAsiaTheme="majorEastAsia" w:hAnsi="Arial" w:cs="Arial"/>
        </w:rPr>
      </w:pPr>
      <w:r w:rsidRPr="00647191">
        <w:rPr>
          <w:rFonts w:ascii="Arial" w:eastAsiaTheme="majorEastAsia" w:hAnsi="Arial" w:cs="Arial"/>
        </w:rPr>
        <w:t>A majority of non-executive directors approving the salaries and benefits of any paid directors, which should be reasonable and proportionate to the work they do and the financial position of the organisation</w:t>
      </w:r>
    </w:p>
    <w:p w:rsidR="00694F31" w:rsidRPr="00647191" w:rsidRDefault="00694F31" w:rsidP="00694F31">
      <w:pPr>
        <w:pStyle w:val="ListParagraph"/>
        <w:numPr>
          <w:ilvl w:val="0"/>
          <w:numId w:val="28"/>
        </w:numPr>
        <w:spacing w:line="240" w:lineRule="auto"/>
        <w:rPr>
          <w:rFonts w:ascii="Arial" w:eastAsiaTheme="majorEastAsia" w:hAnsi="Arial" w:cs="Arial"/>
        </w:rPr>
      </w:pPr>
      <w:r w:rsidRPr="00647191">
        <w:rPr>
          <w:rFonts w:ascii="Arial" w:eastAsiaTheme="majorEastAsia" w:hAnsi="Arial" w:cs="Arial"/>
        </w:rPr>
        <w:t>An asset lock body (in the case of CICs) with objectives which are charitable and similar to the CIC</w:t>
      </w:r>
    </w:p>
    <w:p w:rsidR="00694F31" w:rsidRPr="00647191" w:rsidRDefault="00694F31" w:rsidP="00694F31">
      <w:pPr>
        <w:pStyle w:val="ListParagraph"/>
        <w:numPr>
          <w:ilvl w:val="0"/>
          <w:numId w:val="28"/>
        </w:numPr>
        <w:spacing w:line="240" w:lineRule="auto"/>
        <w:ind w:left="709" w:hanging="283"/>
        <w:rPr>
          <w:rFonts w:ascii="Arial" w:eastAsiaTheme="majorEastAsia" w:hAnsi="Arial" w:cs="Arial"/>
        </w:rPr>
      </w:pPr>
      <w:r w:rsidRPr="00647191">
        <w:rPr>
          <w:rFonts w:ascii="Arial" w:eastAsiaTheme="majorEastAsia" w:hAnsi="Arial" w:cs="Arial"/>
        </w:rPr>
        <w:t>Have its own bank account, with at least two cheque signatories (who are not related to each other).</w:t>
      </w:r>
    </w:p>
    <w:p w:rsidR="00694F31" w:rsidRPr="00647191" w:rsidRDefault="00694F31" w:rsidP="00694F31">
      <w:pPr>
        <w:pStyle w:val="ListParagraph"/>
        <w:numPr>
          <w:ilvl w:val="0"/>
          <w:numId w:val="28"/>
        </w:numPr>
        <w:spacing w:line="240" w:lineRule="auto"/>
        <w:ind w:left="709" w:hanging="283"/>
        <w:rPr>
          <w:rFonts w:ascii="Arial" w:eastAsiaTheme="majorEastAsia" w:hAnsi="Arial" w:cs="Arial"/>
        </w:rPr>
      </w:pPr>
      <w:r w:rsidRPr="00647191">
        <w:rPr>
          <w:rFonts w:ascii="Arial" w:eastAsiaTheme="majorEastAsia" w:hAnsi="Arial" w:cs="Arial"/>
        </w:rPr>
        <w:t>Have a constitution or set of governing rules, with a minimum of three trustees/committee members, as above</w:t>
      </w:r>
    </w:p>
    <w:p w:rsidR="00694F31" w:rsidRPr="00647191" w:rsidRDefault="00694F31" w:rsidP="00694F31">
      <w:pPr>
        <w:pStyle w:val="ListParagraph"/>
        <w:numPr>
          <w:ilvl w:val="0"/>
          <w:numId w:val="28"/>
        </w:numPr>
        <w:spacing w:line="240" w:lineRule="auto"/>
        <w:ind w:left="709" w:hanging="283"/>
        <w:rPr>
          <w:rFonts w:ascii="Arial" w:eastAsiaTheme="majorEastAsia" w:hAnsi="Arial" w:cs="Arial"/>
        </w:rPr>
      </w:pPr>
      <w:r w:rsidRPr="00647191">
        <w:rPr>
          <w:rFonts w:ascii="Arial" w:eastAsiaTheme="majorEastAsia" w:hAnsi="Arial" w:cs="Arial"/>
        </w:rPr>
        <w:t xml:space="preserve">Not apply for grant funding amount of more than 20% of their current annual turnover, as demonstrated by your audited or independently examined accounts </w:t>
      </w:r>
    </w:p>
    <w:p w:rsidR="00694F31" w:rsidRPr="00647191" w:rsidRDefault="00694F31" w:rsidP="00694F31">
      <w:pPr>
        <w:pStyle w:val="ListParagraph"/>
        <w:numPr>
          <w:ilvl w:val="0"/>
          <w:numId w:val="28"/>
        </w:numPr>
        <w:spacing w:line="240" w:lineRule="auto"/>
        <w:ind w:left="709" w:hanging="283"/>
        <w:rPr>
          <w:rFonts w:ascii="Arial" w:eastAsiaTheme="majorEastAsia" w:hAnsi="Arial" w:cs="Arial"/>
        </w:rPr>
      </w:pPr>
      <w:r w:rsidRPr="00647191">
        <w:rPr>
          <w:rFonts w:ascii="Arial" w:eastAsiaTheme="majorEastAsia" w:hAnsi="Arial" w:cs="Arial"/>
        </w:rPr>
        <w:t xml:space="preserve">Have an equal opportunities, health and safety and safeguarding policy </w:t>
      </w:r>
    </w:p>
    <w:p w:rsidR="00694F31" w:rsidRPr="00647191" w:rsidRDefault="00694F31" w:rsidP="00694F31">
      <w:pPr>
        <w:pStyle w:val="ListParagraph"/>
        <w:numPr>
          <w:ilvl w:val="0"/>
          <w:numId w:val="28"/>
        </w:numPr>
        <w:spacing w:line="240" w:lineRule="auto"/>
        <w:ind w:left="709" w:hanging="283"/>
        <w:rPr>
          <w:rFonts w:ascii="Arial" w:eastAsiaTheme="majorEastAsia" w:hAnsi="Arial" w:cs="Arial"/>
        </w:rPr>
      </w:pPr>
      <w:r w:rsidRPr="00647191">
        <w:rPr>
          <w:rFonts w:ascii="Arial" w:eastAsiaTheme="majorEastAsia" w:hAnsi="Arial" w:cs="Arial"/>
        </w:rPr>
        <w:t>Be able to provide 3 years' worth of accounts or records of expenditure, for example via a link to the audited accounts on the Charity Commission website, or copies of your accounts if published on Companies House.</w:t>
      </w:r>
    </w:p>
    <w:p w:rsidR="00694F31" w:rsidRDefault="00694F31" w:rsidP="00694F31">
      <w:pPr>
        <w:pStyle w:val="ListParagraph"/>
        <w:numPr>
          <w:ilvl w:val="0"/>
          <w:numId w:val="28"/>
        </w:numPr>
        <w:spacing w:line="240" w:lineRule="auto"/>
        <w:ind w:left="709" w:hanging="283"/>
        <w:rPr>
          <w:rFonts w:ascii="Arial" w:eastAsiaTheme="majorEastAsia" w:hAnsi="Arial" w:cs="Arial"/>
        </w:rPr>
      </w:pPr>
      <w:r w:rsidRPr="00647191">
        <w:rPr>
          <w:rFonts w:ascii="Arial" w:eastAsiaTheme="majorEastAsia" w:hAnsi="Arial" w:cs="Arial"/>
        </w:rPr>
        <w:t>Have a track record of delivering community mental health services.</w:t>
      </w:r>
    </w:p>
    <w:p w:rsidR="005D1F6B" w:rsidRDefault="005D1F6B" w:rsidP="00694F31">
      <w:pPr>
        <w:pStyle w:val="ListParagraph"/>
        <w:numPr>
          <w:ilvl w:val="0"/>
          <w:numId w:val="28"/>
        </w:numPr>
        <w:spacing w:line="240" w:lineRule="auto"/>
        <w:ind w:left="709" w:hanging="283"/>
        <w:rPr>
          <w:rFonts w:ascii="Arial" w:eastAsiaTheme="majorEastAsia" w:hAnsi="Arial" w:cs="Arial"/>
        </w:rPr>
      </w:pPr>
      <w:r>
        <w:rPr>
          <w:rFonts w:ascii="Arial" w:eastAsiaTheme="majorEastAsia" w:hAnsi="Arial" w:cs="Arial"/>
        </w:rPr>
        <w:t>B</w:t>
      </w:r>
      <w:r w:rsidRPr="005D1F6B">
        <w:rPr>
          <w:rFonts w:ascii="Arial" w:eastAsiaTheme="majorEastAsia" w:hAnsi="Arial" w:cs="Arial"/>
        </w:rPr>
        <w:t>e engaged in or willing to engage in one of the VCS</w:t>
      </w:r>
      <w:r w:rsidR="00F55711">
        <w:rPr>
          <w:rFonts w:ascii="Arial" w:eastAsiaTheme="majorEastAsia" w:hAnsi="Arial" w:cs="Arial"/>
        </w:rPr>
        <w:t>E</w:t>
      </w:r>
      <w:r w:rsidRPr="005D1F6B">
        <w:rPr>
          <w:rFonts w:ascii="Arial" w:eastAsiaTheme="majorEastAsia" w:hAnsi="Arial" w:cs="Arial"/>
        </w:rPr>
        <w:t xml:space="preserve"> mental health networks in West Sussex, East Sussex or B&amp;H</w:t>
      </w:r>
    </w:p>
    <w:p w:rsidR="0020159F" w:rsidRDefault="0020159F" w:rsidP="0020159F">
      <w:pPr>
        <w:rPr>
          <w:rFonts w:eastAsiaTheme="majorEastAsia" w:cs="Arial"/>
        </w:rPr>
      </w:pPr>
      <w:r>
        <w:rPr>
          <w:rFonts w:eastAsiaTheme="majorEastAsia" w:cs="Arial"/>
        </w:rPr>
        <w:t xml:space="preserve">Lead applicants may only apply once as a lead applicant for either the Innovate or Build funding programmes. </w:t>
      </w:r>
    </w:p>
    <w:p w:rsidR="00E2165B" w:rsidRDefault="00E2165B" w:rsidP="0020159F">
      <w:pPr>
        <w:rPr>
          <w:rFonts w:eastAsiaTheme="majorEastAsia" w:cs="Arial"/>
        </w:rPr>
      </w:pPr>
    </w:p>
    <w:p w:rsidR="00E2165B" w:rsidRPr="00E2165B" w:rsidRDefault="00E2165B" w:rsidP="00E2165B">
      <w:pPr>
        <w:rPr>
          <w:rFonts w:cs="Arial"/>
        </w:rPr>
      </w:pPr>
      <w:r w:rsidRPr="002B46FA">
        <w:rPr>
          <w:rFonts w:cs="Arial"/>
          <w:u w:val="single"/>
        </w:rPr>
        <w:t>Projects must be co-produced with those with lived experience</w:t>
      </w:r>
      <w:r w:rsidRPr="00E2165B">
        <w:rPr>
          <w:rFonts w:cs="Arial"/>
        </w:rPr>
        <w:t xml:space="preserve">, and delivered in partnership by voluntary and community sector organisations working with the NHS. </w:t>
      </w:r>
    </w:p>
    <w:p w:rsidR="00E2165B" w:rsidRPr="00E2165B" w:rsidRDefault="00E2165B" w:rsidP="00E2165B">
      <w:pPr>
        <w:rPr>
          <w:rFonts w:cs="Arial"/>
        </w:rPr>
      </w:pPr>
    </w:p>
    <w:p w:rsidR="00E2165B" w:rsidRPr="00E2165B" w:rsidRDefault="00E2165B" w:rsidP="00E2165B">
      <w:pPr>
        <w:rPr>
          <w:rFonts w:cs="Arial"/>
        </w:rPr>
      </w:pPr>
      <w:r w:rsidRPr="00E2165B">
        <w:rPr>
          <w:rFonts w:cs="Arial"/>
        </w:rPr>
        <w:t>Funded projects must be ready to start delivery</w:t>
      </w:r>
      <w:r w:rsidR="00291099">
        <w:rPr>
          <w:rFonts w:cs="Arial"/>
        </w:rPr>
        <w:t xml:space="preserve"> by</w:t>
      </w:r>
      <w:r w:rsidRPr="00E2165B">
        <w:rPr>
          <w:rFonts w:cs="Arial"/>
        </w:rPr>
        <w:t xml:space="preserve"> </w:t>
      </w:r>
      <w:r w:rsidR="002B46FA">
        <w:rPr>
          <w:rFonts w:cs="Arial"/>
        </w:rPr>
        <w:t>March 2023</w:t>
      </w:r>
      <w:r w:rsidR="0003229D" w:rsidRPr="0003229D">
        <w:rPr>
          <w:rFonts w:cs="Arial"/>
        </w:rPr>
        <w:t xml:space="preserve"> </w:t>
      </w:r>
      <w:r w:rsidRPr="00E2165B">
        <w:rPr>
          <w:rFonts w:cs="Arial"/>
        </w:rPr>
        <w:t xml:space="preserve">and will need to have completed activities and been evaluated </w:t>
      </w:r>
      <w:r w:rsidR="00391209">
        <w:rPr>
          <w:rFonts w:cs="Arial"/>
        </w:rPr>
        <w:t>by June 2024</w:t>
      </w:r>
      <w:r w:rsidRPr="00E2165B">
        <w:rPr>
          <w:rFonts w:cs="Arial"/>
        </w:rPr>
        <w:t>.</w:t>
      </w:r>
    </w:p>
    <w:p w:rsidR="00694F31" w:rsidRPr="00647191" w:rsidRDefault="00694F31" w:rsidP="00F2529B">
      <w:pPr>
        <w:rPr>
          <w:rFonts w:cs="Arial"/>
        </w:rPr>
      </w:pPr>
    </w:p>
    <w:p w:rsidR="007C2C23" w:rsidRPr="00647191" w:rsidRDefault="00F2529B" w:rsidP="00F2529B">
      <w:pPr>
        <w:rPr>
          <w:rFonts w:cs="Arial"/>
          <w:b/>
        </w:rPr>
      </w:pPr>
      <w:r w:rsidRPr="00647191">
        <w:rPr>
          <w:rFonts w:cs="Arial"/>
          <w:b/>
        </w:rPr>
        <w:t xml:space="preserve">Joint applications </w:t>
      </w:r>
    </w:p>
    <w:p w:rsidR="00F2529B" w:rsidRDefault="00F2529B" w:rsidP="00F2529B">
      <w:pPr>
        <w:rPr>
          <w:rFonts w:cs="Arial"/>
        </w:rPr>
      </w:pPr>
      <w:r w:rsidRPr="00647191">
        <w:rPr>
          <w:rFonts w:cs="Arial"/>
        </w:rPr>
        <w:t xml:space="preserve">We welcome joint applications – e.g. collaborations between VCSE organisations. There is no limit to the number of partners. However, we require one </w:t>
      </w:r>
      <w:r w:rsidR="00AE15B1" w:rsidRPr="00647191">
        <w:rPr>
          <w:rFonts w:cs="Arial"/>
        </w:rPr>
        <w:t xml:space="preserve">delivery </w:t>
      </w:r>
      <w:r w:rsidRPr="00647191">
        <w:rPr>
          <w:rFonts w:cs="Arial"/>
        </w:rPr>
        <w:t>partner to take the lead. The lead applicant must meet th</w:t>
      </w:r>
      <w:r w:rsidR="007C2C23" w:rsidRPr="00647191">
        <w:rPr>
          <w:rFonts w:cs="Arial"/>
        </w:rPr>
        <w:t>e eligibility criteria outlined</w:t>
      </w:r>
      <w:r w:rsidR="00AE15B1" w:rsidRPr="00647191">
        <w:rPr>
          <w:rFonts w:cs="Arial"/>
        </w:rPr>
        <w:t xml:space="preserve"> and we will contract with them and expect them to manage the grant</w:t>
      </w:r>
      <w:r w:rsidRPr="00647191">
        <w:rPr>
          <w:rFonts w:cs="Arial"/>
        </w:rPr>
        <w:t xml:space="preserve">. </w:t>
      </w:r>
    </w:p>
    <w:p w:rsidR="00F2529B" w:rsidRPr="00647191" w:rsidRDefault="00F2529B" w:rsidP="00A06E78">
      <w:pPr>
        <w:rPr>
          <w:rFonts w:cs="Arial"/>
        </w:rPr>
      </w:pPr>
    </w:p>
    <w:p w:rsidR="00F2529B" w:rsidRPr="00647191" w:rsidRDefault="00F2529B" w:rsidP="00A06E78">
      <w:pPr>
        <w:rPr>
          <w:rFonts w:cs="Arial"/>
          <w:b/>
        </w:rPr>
      </w:pPr>
      <w:r w:rsidRPr="00647191">
        <w:rPr>
          <w:rFonts w:cs="Arial"/>
          <w:b/>
        </w:rPr>
        <w:t>What will we fund?</w:t>
      </w:r>
    </w:p>
    <w:p w:rsidR="00F2529B" w:rsidRPr="00647191" w:rsidRDefault="00F2529B" w:rsidP="00A06E78">
      <w:pPr>
        <w:pStyle w:val="ListParagraph"/>
        <w:numPr>
          <w:ilvl w:val="0"/>
          <w:numId w:val="19"/>
        </w:numPr>
        <w:rPr>
          <w:rFonts w:ascii="Arial" w:hAnsi="Arial" w:cs="Arial"/>
        </w:rPr>
      </w:pPr>
      <w:r w:rsidRPr="00647191">
        <w:rPr>
          <w:rFonts w:ascii="Arial" w:hAnsi="Arial" w:cs="Arial"/>
        </w:rPr>
        <w:t xml:space="preserve">Direct projects costs </w:t>
      </w:r>
    </w:p>
    <w:p w:rsidR="00F2529B" w:rsidRPr="00647191" w:rsidRDefault="00C87CB3" w:rsidP="00A06E78">
      <w:pPr>
        <w:pStyle w:val="ListParagraph"/>
        <w:numPr>
          <w:ilvl w:val="0"/>
          <w:numId w:val="19"/>
        </w:numPr>
        <w:rPr>
          <w:rFonts w:ascii="Arial" w:hAnsi="Arial" w:cs="Arial"/>
        </w:rPr>
      </w:pPr>
      <w:r w:rsidRPr="00647191">
        <w:rPr>
          <w:rFonts w:ascii="Arial" w:hAnsi="Arial" w:cs="Arial"/>
        </w:rPr>
        <w:t>Project management costs</w:t>
      </w:r>
      <w:r w:rsidR="00F2529B" w:rsidRPr="00647191">
        <w:rPr>
          <w:rFonts w:ascii="Arial" w:hAnsi="Arial" w:cs="Arial"/>
        </w:rPr>
        <w:t xml:space="preserve"> up to a maximum of 1</w:t>
      </w:r>
      <w:r w:rsidR="003037A5" w:rsidRPr="00647191">
        <w:rPr>
          <w:rFonts w:ascii="Arial" w:hAnsi="Arial" w:cs="Arial"/>
        </w:rPr>
        <w:t>0</w:t>
      </w:r>
      <w:r w:rsidR="00F2529B" w:rsidRPr="00647191">
        <w:rPr>
          <w:rFonts w:ascii="Arial" w:hAnsi="Arial" w:cs="Arial"/>
        </w:rPr>
        <w:t xml:space="preserve">% of the total budget </w:t>
      </w:r>
    </w:p>
    <w:p w:rsidR="00F2529B" w:rsidRPr="00647191" w:rsidRDefault="00F2529B" w:rsidP="00A06E78">
      <w:pPr>
        <w:rPr>
          <w:rFonts w:cs="Arial"/>
          <w:b/>
        </w:rPr>
      </w:pPr>
      <w:r w:rsidRPr="00647191">
        <w:rPr>
          <w:rFonts w:cs="Arial"/>
          <w:b/>
        </w:rPr>
        <w:t>Where will we fund?</w:t>
      </w:r>
    </w:p>
    <w:p w:rsidR="00D8179F" w:rsidRPr="00647191" w:rsidRDefault="00F2529B" w:rsidP="00A06E78">
      <w:pPr>
        <w:pStyle w:val="ListParagraph"/>
        <w:numPr>
          <w:ilvl w:val="0"/>
          <w:numId w:val="18"/>
        </w:numPr>
        <w:rPr>
          <w:rFonts w:ascii="Arial" w:hAnsi="Arial" w:cs="Arial"/>
        </w:rPr>
      </w:pPr>
      <w:r w:rsidRPr="00647191">
        <w:rPr>
          <w:rFonts w:ascii="Arial" w:hAnsi="Arial" w:cs="Arial"/>
        </w:rPr>
        <w:t>We will only fund projects which benefit communities in Sussex.</w:t>
      </w:r>
    </w:p>
    <w:p w:rsidR="00C35B79" w:rsidRPr="0020159F" w:rsidRDefault="0020159F" w:rsidP="00C35B79">
      <w:pPr>
        <w:pStyle w:val="ListParagraph"/>
        <w:numPr>
          <w:ilvl w:val="0"/>
          <w:numId w:val="18"/>
        </w:numPr>
        <w:rPr>
          <w:rFonts w:ascii="Arial" w:hAnsi="Arial" w:cs="Arial"/>
        </w:rPr>
      </w:pPr>
      <w:r w:rsidRPr="0020159F">
        <w:rPr>
          <w:rFonts w:ascii="Arial" w:hAnsi="Arial" w:cs="Arial"/>
        </w:rPr>
        <w:t xml:space="preserve">Projects addressing </w:t>
      </w:r>
      <w:r w:rsidR="00C35B79" w:rsidRPr="0020159F">
        <w:rPr>
          <w:rFonts w:ascii="Arial" w:hAnsi="Arial" w:cs="Arial"/>
        </w:rPr>
        <w:t xml:space="preserve">Health Inequalities </w:t>
      </w:r>
      <w:r w:rsidRPr="0020159F">
        <w:rPr>
          <w:rFonts w:ascii="Arial" w:hAnsi="Arial" w:cs="Arial"/>
        </w:rPr>
        <w:t xml:space="preserve">can only be </w:t>
      </w:r>
      <w:r w:rsidR="002313E9" w:rsidRPr="0020159F">
        <w:rPr>
          <w:rFonts w:ascii="Arial" w:hAnsi="Arial" w:cs="Arial"/>
        </w:rPr>
        <w:t xml:space="preserve">delivered in areas of deprivation </w:t>
      </w:r>
      <w:r w:rsidR="00C35B79" w:rsidRPr="0020159F">
        <w:rPr>
          <w:rFonts w:ascii="Arial" w:hAnsi="Arial" w:cs="Arial"/>
        </w:rPr>
        <w:t xml:space="preserve">within Hastings and Rother; </w:t>
      </w:r>
      <w:r w:rsidR="00666B7F" w:rsidRPr="0020159F">
        <w:rPr>
          <w:rFonts w:ascii="Arial" w:hAnsi="Arial" w:cs="Arial"/>
        </w:rPr>
        <w:t>Brighton and Hove</w:t>
      </w:r>
      <w:r w:rsidR="00C35B79" w:rsidRPr="0020159F">
        <w:rPr>
          <w:rFonts w:ascii="Arial" w:hAnsi="Arial" w:cs="Arial"/>
        </w:rPr>
        <w:t>; Bognor Regis and Littlehampton; Eastbourne</w:t>
      </w:r>
      <w:r w:rsidR="00706DEA" w:rsidRPr="0020159F">
        <w:rPr>
          <w:rFonts w:ascii="Arial" w:hAnsi="Arial" w:cs="Arial"/>
        </w:rPr>
        <w:t>, Hailsham and Seaford</w:t>
      </w:r>
      <w:r w:rsidR="002313E9" w:rsidRPr="0020159F">
        <w:rPr>
          <w:rFonts w:ascii="Arial" w:hAnsi="Arial" w:cs="Arial"/>
        </w:rPr>
        <w:t>,</w:t>
      </w:r>
      <w:r w:rsidR="00C35B79" w:rsidRPr="0020159F">
        <w:rPr>
          <w:rFonts w:ascii="Arial" w:hAnsi="Arial" w:cs="Arial"/>
        </w:rPr>
        <w:t xml:space="preserve"> and Crawley.</w:t>
      </w:r>
    </w:p>
    <w:p w:rsidR="00F2529B" w:rsidRPr="00647191" w:rsidRDefault="00F2529B" w:rsidP="00A06E78">
      <w:pPr>
        <w:rPr>
          <w:rFonts w:cs="Arial"/>
          <w:b/>
        </w:rPr>
      </w:pPr>
      <w:r w:rsidRPr="00647191">
        <w:rPr>
          <w:rFonts w:cs="Arial"/>
          <w:b/>
        </w:rPr>
        <w:t>W</w:t>
      </w:r>
      <w:r w:rsidR="00D8179F" w:rsidRPr="00647191">
        <w:rPr>
          <w:rFonts w:cs="Arial"/>
          <w:b/>
        </w:rPr>
        <w:t>h</w:t>
      </w:r>
      <w:r w:rsidRPr="00647191">
        <w:rPr>
          <w:rFonts w:cs="Arial"/>
          <w:b/>
        </w:rPr>
        <w:t>at won't we fund?</w:t>
      </w:r>
    </w:p>
    <w:p w:rsidR="00F2529B" w:rsidRPr="00647191" w:rsidRDefault="00F2529B" w:rsidP="00A06E78">
      <w:pPr>
        <w:pStyle w:val="ListParagraph"/>
        <w:numPr>
          <w:ilvl w:val="0"/>
          <w:numId w:val="16"/>
        </w:numPr>
        <w:rPr>
          <w:rFonts w:ascii="Arial" w:hAnsi="Arial" w:cs="Arial"/>
        </w:rPr>
      </w:pPr>
      <w:r w:rsidRPr="00647191">
        <w:rPr>
          <w:rFonts w:ascii="Arial" w:hAnsi="Arial" w:cs="Arial"/>
        </w:rPr>
        <w:t xml:space="preserve">Organisations or activities which don’t benefit communities in Sussex </w:t>
      </w:r>
    </w:p>
    <w:p w:rsidR="004B49AE" w:rsidRPr="00647191" w:rsidRDefault="004B49AE" w:rsidP="00A06E78">
      <w:pPr>
        <w:pStyle w:val="ListParagraph"/>
        <w:numPr>
          <w:ilvl w:val="0"/>
          <w:numId w:val="16"/>
        </w:numPr>
        <w:rPr>
          <w:rFonts w:ascii="Arial" w:hAnsi="Arial" w:cs="Arial"/>
        </w:rPr>
      </w:pPr>
      <w:r w:rsidRPr="00647191">
        <w:rPr>
          <w:rFonts w:ascii="Arial" w:hAnsi="Arial" w:cs="Arial"/>
        </w:rPr>
        <w:t>NHS provider organisations or other statutory agencies</w:t>
      </w:r>
    </w:p>
    <w:p w:rsidR="00F2529B" w:rsidRPr="00647191" w:rsidRDefault="00F2529B" w:rsidP="00A06E78">
      <w:pPr>
        <w:pStyle w:val="ListParagraph"/>
        <w:numPr>
          <w:ilvl w:val="0"/>
          <w:numId w:val="16"/>
        </w:numPr>
        <w:rPr>
          <w:rFonts w:ascii="Arial" w:hAnsi="Arial" w:cs="Arial"/>
        </w:rPr>
      </w:pPr>
      <w:r w:rsidRPr="00647191">
        <w:rPr>
          <w:rFonts w:ascii="Arial" w:hAnsi="Arial" w:cs="Arial"/>
        </w:rPr>
        <w:t xml:space="preserve">Individuals </w:t>
      </w:r>
    </w:p>
    <w:p w:rsidR="00F2529B" w:rsidRDefault="00F2529B" w:rsidP="00A06E78">
      <w:pPr>
        <w:pStyle w:val="ListParagraph"/>
        <w:numPr>
          <w:ilvl w:val="0"/>
          <w:numId w:val="16"/>
        </w:numPr>
        <w:rPr>
          <w:rFonts w:ascii="Arial" w:hAnsi="Arial" w:cs="Arial"/>
        </w:rPr>
      </w:pPr>
      <w:r w:rsidRPr="00647191">
        <w:rPr>
          <w:rFonts w:ascii="Arial" w:hAnsi="Arial" w:cs="Arial"/>
        </w:rPr>
        <w:t xml:space="preserve">Organisations that discriminate on the basis of race, religion, national origin, disability, age, or sexual orientation </w:t>
      </w:r>
    </w:p>
    <w:p w:rsidR="00391209" w:rsidRPr="00647191" w:rsidRDefault="00391209" w:rsidP="00A06E78">
      <w:pPr>
        <w:pStyle w:val="ListParagraph"/>
        <w:numPr>
          <w:ilvl w:val="0"/>
          <w:numId w:val="16"/>
        </w:numPr>
        <w:rPr>
          <w:rFonts w:ascii="Arial" w:hAnsi="Arial" w:cs="Arial"/>
        </w:rPr>
      </w:pPr>
      <w:r>
        <w:rPr>
          <w:rFonts w:ascii="Arial" w:hAnsi="Arial" w:cs="Arial"/>
        </w:rPr>
        <w:lastRenderedPageBreak/>
        <w:t>Activities which are predominantly research based - we expect our funding to support direct project delivery</w:t>
      </w:r>
    </w:p>
    <w:p w:rsidR="00F2529B" w:rsidRPr="00647191" w:rsidRDefault="00F2529B" w:rsidP="00A06E78">
      <w:pPr>
        <w:pStyle w:val="ListParagraph"/>
        <w:numPr>
          <w:ilvl w:val="0"/>
          <w:numId w:val="16"/>
        </w:numPr>
        <w:rPr>
          <w:rFonts w:ascii="Arial" w:hAnsi="Arial" w:cs="Arial"/>
        </w:rPr>
      </w:pPr>
      <w:r w:rsidRPr="00647191">
        <w:rPr>
          <w:rFonts w:ascii="Arial" w:hAnsi="Arial" w:cs="Arial"/>
        </w:rPr>
        <w:t xml:space="preserve">Political activities </w:t>
      </w:r>
    </w:p>
    <w:p w:rsidR="00F2529B" w:rsidRPr="00647191" w:rsidRDefault="00F2529B" w:rsidP="00A06E78">
      <w:pPr>
        <w:pStyle w:val="ListParagraph"/>
        <w:numPr>
          <w:ilvl w:val="0"/>
          <w:numId w:val="16"/>
        </w:numPr>
        <w:rPr>
          <w:rFonts w:ascii="Arial" w:hAnsi="Arial" w:cs="Arial"/>
        </w:rPr>
      </w:pPr>
      <w:r w:rsidRPr="00647191">
        <w:rPr>
          <w:rFonts w:ascii="Arial" w:hAnsi="Arial" w:cs="Arial"/>
        </w:rPr>
        <w:t>Retrospective funding for activities or projects that have already taken place</w:t>
      </w:r>
    </w:p>
    <w:p w:rsidR="0040726B" w:rsidRPr="00291099" w:rsidRDefault="0040726B" w:rsidP="00A06E78">
      <w:pPr>
        <w:pStyle w:val="ListParagraph"/>
        <w:numPr>
          <w:ilvl w:val="0"/>
          <w:numId w:val="16"/>
        </w:numPr>
        <w:rPr>
          <w:rFonts w:ascii="Arial" w:hAnsi="Arial" w:cs="Arial"/>
        </w:rPr>
      </w:pPr>
      <w:r w:rsidRPr="00291099">
        <w:rPr>
          <w:rFonts w:ascii="Arial" w:hAnsi="Arial" w:cs="Arial"/>
        </w:rPr>
        <w:t>Capital expenditure</w:t>
      </w:r>
    </w:p>
    <w:p w:rsidR="004B49AE" w:rsidRPr="00647191" w:rsidRDefault="004B49AE" w:rsidP="00A06E78">
      <w:pPr>
        <w:pStyle w:val="ListParagraph"/>
        <w:numPr>
          <w:ilvl w:val="0"/>
          <w:numId w:val="16"/>
        </w:numPr>
        <w:rPr>
          <w:rFonts w:ascii="Arial" w:hAnsi="Arial" w:cs="Arial"/>
        </w:rPr>
      </w:pPr>
      <w:r w:rsidRPr="00647191">
        <w:rPr>
          <w:rFonts w:ascii="Arial" w:hAnsi="Arial" w:cs="Arial"/>
        </w:rPr>
        <w:t>Activities that are the responsibility of statutory bodies and funders, including work which is considered core NHS activity</w:t>
      </w:r>
    </w:p>
    <w:p w:rsidR="001E5E99" w:rsidRPr="00647191" w:rsidRDefault="00C87CB3" w:rsidP="00A06E78">
      <w:pPr>
        <w:pStyle w:val="ListParagraph"/>
        <w:numPr>
          <w:ilvl w:val="0"/>
          <w:numId w:val="16"/>
        </w:numPr>
        <w:rPr>
          <w:rFonts w:ascii="Arial" w:hAnsi="Arial" w:cs="Arial"/>
        </w:rPr>
      </w:pPr>
      <w:r w:rsidRPr="00647191">
        <w:rPr>
          <w:rFonts w:ascii="Arial" w:hAnsi="Arial" w:cs="Arial"/>
        </w:rPr>
        <w:t>Core costs</w:t>
      </w:r>
    </w:p>
    <w:p w:rsidR="00C87CB3" w:rsidRDefault="001E5E99" w:rsidP="00A06E78">
      <w:pPr>
        <w:pStyle w:val="ListParagraph"/>
        <w:numPr>
          <w:ilvl w:val="0"/>
          <w:numId w:val="16"/>
        </w:numPr>
        <w:rPr>
          <w:rFonts w:ascii="Arial" w:hAnsi="Arial" w:cs="Arial"/>
        </w:rPr>
      </w:pPr>
      <w:r w:rsidRPr="00647191">
        <w:rPr>
          <w:rFonts w:ascii="Arial" w:hAnsi="Arial" w:cs="Arial"/>
        </w:rPr>
        <w:t>Applications for anything which isn't direct delivery costs. For example, we will not fund organisations who wish to use the funding to then make grants to others.</w:t>
      </w:r>
      <w:r w:rsidR="00C87CB3" w:rsidRPr="00647191">
        <w:rPr>
          <w:rFonts w:ascii="Arial" w:hAnsi="Arial" w:cs="Arial"/>
        </w:rPr>
        <w:t xml:space="preserve"> </w:t>
      </w:r>
    </w:p>
    <w:p w:rsidR="002B46FA" w:rsidRDefault="005924DB" w:rsidP="002B46FA">
      <w:pPr>
        <w:rPr>
          <w:rFonts w:cs="Arial"/>
        </w:rPr>
      </w:pPr>
      <w:bookmarkStart w:id="35" w:name="_Hlk118368878"/>
      <w:r>
        <w:rPr>
          <w:rFonts w:cs="Arial"/>
        </w:rPr>
        <w:t xml:space="preserve">We expect a high volume of applications and recommend applicants review the scoring criteria to ensure their project best addresses the priorities of the fund. Due to </w:t>
      </w:r>
      <w:r w:rsidR="00391209">
        <w:rPr>
          <w:rFonts w:cs="Arial"/>
        </w:rPr>
        <w:t>expected demand for our funding</w:t>
      </w:r>
      <w:r>
        <w:rPr>
          <w:rFonts w:cs="Arial"/>
        </w:rPr>
        <w:t xml:space="preserve">, we may not be able to fund successful projects at the level requested. </w:t>
      </w:r>
    </w:p>
    <w:p w:rsidR="00F55711" w:rsidRDefault="00F55711" w:rsidP="002B46FA">
      <w:pPr>
        <w:rPr>
          <w:rFonts w:cs="Arial"/>
        </w:rPr>
      </w:pPr>
    </w:p>
    <w:p w:rsidR="00F55711" w:rsidRPr="002B46FA" w:rsidRDefault="00F55711" w:rsidP="002B46FA">
      <w:pPr>
        <w:rPr>
          <w:rFonts w:cs="Arial"/>
        </w:rPr>
      </w:pPr>
      <w:r>
        <w:rPr>
          <w:rFonts w:cs="Arial"/>
        </w:rPr>
        <w:t xml:space="preserve">In the summer funding round for this programme the largest awards made for projects under Transformation of Community Mental Health Services were £25,000. </w:t>
      </w:r>
    </w:p>
    <w:bookmarkEnd w:id="35"/>
    <w:p w:rsidR="008909F2" w:rsidRPr="00647191" w:rsidRDefault="008909F2" w:rsidP="004A6982">
      <w:pPr>
        <w:rPr>
          <w:rFonts w:cs="Arial"/>
          <w:b/>
          <w:u w:val="single"/>
        </w:rPr>
      </w:pPr>
    </w:p>
    <w:p w:rsidR="00587B11" w:rsidRPr="00744A14" w:rsidRDefault="003C129E" w:rsidP="00744A14">
      <w:pPr>
        <w:pStyle w:val="Heading1"/>
      </w:pPr>
      <w:bookmarkStart w:id="36" w:name="_Toc118719502"/>
      <w:r w:rsidRPr="00744A14">
        <w:t>How to apply and funding</w:t>
      </w:r>
      <w:r w:rsidR="00587B11" w:rsidRPr="00744A14">
        <w:t xml:space="preserve"> </w:t>
      </w:r>
      <w:r w:rsidRPr="00744A14">
        <w:t>timelines</w:t>
      </w:r>
      <w:bookmarkEnd w:id="36"/>
      <w:r w:rsidRPr="00744A14">
        <w:t xml:space="preserve"> </w:t>
      </w:r>
    </w:p>
    <w:p w:rsidR="003C129E" w:rsidRPr="00647191" w:rsidRDefault="003C129E" w:rsidP="004A6982">
      <w:pPr>
        <w:rPr>
          <w:rFonts w:cs="Arial"/>
        </w:rPr>
      </w:pPr>
    </w:p>
    <w:p w:rsidR="003C129E" w:rsidRPr="00647191" w:rsidRDefault="003C129E" w:rsidP="004A6982">
      <w:pPr>
        <w:rPr>
          <w:rFonts w:cs="Arial"/>
        </w:rPr>
      </w:pPr>
      <w:r w:rsidRPr="00647191">
        <w:rPr>
          <w:rFonts w:cs="Arial"/>
        </w:rPr>
        <w:t>To apply you need to:</w:t>
      </w:r>
    </w:p>
    <w:p w:rsidR="003C129E" w:rsidRPr="00647191" w:rsidRDefault="003C129E" w:rsidP="008909F2">
      <w:pPr>
        <w:pStyle w:val="ListParagraph"/>
        <w:numPr>
          <w:ilvl w:val="0"/>
          <w:numId w:val="22"/>
        </w:numPr>
        <w:rPr>
          <w:rFonts w:ascii="Arial" w:hAnsi="Arial" w:cs="Arial"/>
        </w:rPr>
      </w:pPr>
      <w:r w:rsidRPr="00647191">
        <w:rPr>
          <w:rFonts w:ascii="Arial" w:hAnsi="Arial" w:cs="Arial"/>
        </w:rPr>
        <w:t xml:space="preserve">Submit an application form via email to </w:t>
      </w:r>
      <w:hyperlink r:id="rId13" w:history="1">
        <w:r w:rsidR="0020159F" w:rsidRPr="0020159F">
          <w:rPr>
            <w:rStyle w:val="Hyperlink"/>
            <w:rFonts w:ascii="Arial" w:hAnsi="Arial" w:cs="Arial"/>
          </w:rPr>
          <w:t>GrantsHeadsOn@sussexpartnership.nhs.uk</w:t>
        </w:r>
      </w:hyperlink>
      <w:r w:rsidR="0020159F">
        <w:rPr>
          <w:rFonts w:ascii="Arial" w:hAnsi="Arial" w:cs="Arial"/>
          <w:highlight w:val="yellow"/>
        </w:rPr>
        <w:t xml:space="preserve"> </w:t>
      </w:r>
      <w:r w:rsidR="00932638" w:rsidRPr="00647191">
        <w:rPr>
          <w:rFonts w:ascii="Arial" w:hAnsi="Arial" w:cs="Arial"/>
        </w:rPr>
        <w:t xml:space="preserve"> </w:t>
      </w:r>
      <w:r w:rsidRPr="00647191">
        <w:rPr>
          <w:rFonts w:ascii="Arial" w:hAnsi="Arial" w:cs="Arial"/>
        </w:rPr>
        <w:t>using the form available to download</w:t>
      </w:r>
      <w:r w:rsidR="00FA0ECB" w:rsidRPr="00647191">
        <w:rPr>
          <w:rFonts w:ascii="Arial" w:hAnsi="Arial" w:cs="Arial"/>
        </w:rPr>
        <w:t xml:space="preserve"> </w:t>
      </w:r>
      <w:r w:rsidR="00F80D79" w:rsidRPr="0046639A">
        <w:rPr>
          <w:rFonts w:ascii="Arial" w:hAnsi="Arial" w:cs="Arial"/>
          <w:b/>
        </w:rPr>
        <w:t xml:space="preserve">on the Heads On website </w:t>
      </w:r>
      <w:hyperlink r:id="rId14" w:history="1">
        <w:r w:rsidR="0046639A" w:rsidRPr="00710042">
          <w:rPr>
            <w:rStyle w:val="Hyperlink"/>
            <w:rFonts w:ascii="Arial" w:hAnsi="Arial" w:cs="Arial"/>
            <w:b/>
          </w:rPr>
          <w:t>https://www.headsoncharity.org/news/sussex-health-and-care-mental-health-collaborative-updated-funding-opportunity/index.html</w:t>
        </w:r>
      </w:hyperlink>
      <w:r w:rsidRPr="00647191">
        <w:rPr>
          <w:rFonts w:ascii="Arial" w:hAnsi="Arial" w:cs="Arial"/>
        </w:rPr>
        <w:t>.</w:t>
      </w:r>
      <w:r w:rsidR="0046639A">
        <w:rPr>
          <w:rFonts w:ascii="Arial" w:hAnsi="Arial" w:cs="Arial"/>
        </w:rPr>
        <w:t xml:space="preserve"> </w:t>
      </w:r>
    </w:p>
    <w:p w:rsidR="003C129E" w:rsidRDefault="003C129E" w:rsidP="008909F2">
      <w:pPr>
        <w:pStyle w:val="ListParagraph"/>
        <w:numPr>
          <w:ilvl w:val="0"/>
          <w:numId w:val="22"/>
        </w:numPr>
        <w:rPr>
          <w:rFonts w:ascii="Arial" w:hAnsi="Arial" w:cs="Arial"/>
        </w:rPr>
      </w:pPr>
      <w:r w:rsidRPr="00647191">
        <w:rPr>
          <w:rFonts w:ascii="Arial" w:hAnsi="Arial" w:cs="Arial"/>
        </w:rPr>
        <w:t xml:space="preserve">Include the links to your financial accounts with your </w:t>
      </w:r>
      <w:r w:rsidR="00FA0ECB" w:rsidRPr="00647191">
        <w:rPr>
          <w:rFonts w:ascii="Arial" w:hAnsi="Arial" w:cs="Arial"/>
        </w:rPr>
        <w:t>application</w:t>
      </w:r>
      <w:r w:rsidRPr="00647191">
        <w:rPr>
          <w:rFonts w:ascii="Arial" w:hAnsi="Arial" w:cs="Arial"/>
        </w:rPr>
        <w:t xml:space="preserve"> form</w:t>
      </w:r>
    </w:p>
    <w:p w:rsidR="00EC5915" w:rsidRPr="00EC5915" w:rsidRDefault="00391209" w:rsidP="00EC5915">
      <w:pPr>
        <w:pStyle w:val="ListParagraph"/>
        <w:numPr>
          <w:ilvl w:val="0"/>
          <w:numId w:val="22"/>
        </w:numPr>
        <w:rPr>
          <w:rFonts w:ascii="Arial" w:hAnsi="Arial" w:cs="Arial"/>
        </w:rPr>
      </w:pPr>
      <w:r>
        <w:rPr>
          <w:rFonts w:ascii="Arial" w:hAnsi="Arial" w:cs="Arial"/>
        </w:rPr>
        <w:t>If</w:t>
      </w:r>
      <w:r w:rsidR="00EC5915" w:rsidRPr="00EC5915">
        <w:rPr>
          <w:rFonts w:ascii="Arial" w:hAnsi="Arial" w:cs="Arial"/>
        </w:rPr>
        <w:t xml:space="preserve"> you applied to the first </w:t>
      </w:r>
      <w:r>
        <w:rPr>
          <w:rFonts w:ascii="Arial" w:hAnsi="Arial" w:cs="Arial"/>
        </w:rPr>
        <w:t xml:space="preserve">Mental Health Community Grants </w:t>
      </w:r>
      <w:r w:rsidR="00EC5915" w:rsidRPr="00EC5915">
        <w:rPr>
          <w:rFonts w:ascii="Arial" w:hAnsi="Arial" w:cs="Arial"/>
        </w:rPr>
        <w:t xml:space="preserve">funding round and were unsuccessful you </w:t>
      </w:r>
      <w:r>
        <w:rPr>
          <w:rFonts w:ascii="Arial" w:hAnsi="Arial" w:cs="Arial"/>
        </w:rPr>
        <w:t>must</w:t>
      </w:r>
      <w:r w:rsidR="00EC5915" w:rsidRPr="00EC5915">
        <w:rPr>
          <w:rFonts w:ascii="Arial" w:hAnsi="Arial" w:cs="Arial"/>
        </w:rPr>
        <w:t xml:space="preserve"> contact </w:t>
      </w:r>
      <w:hyperlink r:id="rId15" w:history="1">
        <w:r w:rsidR="00EC5915" w:rsidRPr="00EC5915">
          <w:rPr>
            <w:rStyle w:val="Hyperlink"/>
            <w:rFonts w:ascii="Arial" w:hAnsi="Arial" w:cs="Arial"/>
          </w:rPr>
          <w:t>GrantsHeadsOn@sussexpartnership.nhs.uk</w:t>
        </w:r>
      </w:hyperlink>
      <w:r w:rsidR="00EC5915" w:rsidRPr="00EC5915">
        <w:rPr>
          <w:rFonts w:ascii="Arial" w:hAnsi="Arial" w:cs="Arial"/>
        </w:rPr>
        <w:t xml:space="preserve"> </w:t>
      </w:r>
      <w:r>
        <w:rPr>
          <w:rFonts w:ascii="Arial" w:hAnsi="Arial" w:cs="Arial"/>
        </w:rPr>
        <w:t>prior to reapplying if you intend to submit the same project</w:t>
      </w:r>
      <w:r w:rsidR="00EC5915" w:rsidRPr="00EC5915">
        <w:rPr>
          <w:rFonts w:ascii="Arial" w:hAnsi="Arial" w:cs="Arial"/>
        </w:rPr>
        <w:t xml:space="preserve">. We will need to </w:t>
      </w:r>
      <w:r>
        <w:rPr>
          <w:rFonts w:ascii="Arial" w:hAnsi="Arial" w:cs="Arial"/>
        </w:rPr>
        <w:t>check if</w:t>
      </w:r>
      <w:r w:rsidR="00EC5915" w:rsidRPr="00EC5915">
        <w:rPr>
          <w:rFonts w:ascii="Arial" w:hAnsi="Arial" w:cs="Arial"/>
        </w:rPr>
        <w:t xml:space="preserve"> your project is eligible</w:t>
      </w:r>
      <w:r>
        <w:rPr>
          <w:rFonts w:ascii="Arial" w:hAnsi="Arial" w:cs="Arial"/>
        </w:rPr>
        <w:t xml:space="preserve"> as our guidance has been updated. Please note we will not accept applications for suicide prevention projects at this Winter 2022 funding round.</w:t>
      </w:r>
      <w:r w:rsidR="00EC5915" w:rsidRPr="00EC5915">
        <w:rPr>
          <w:rFonts w:ascii="Arial" w:hAnsi="Arial" w:cs="Arial"/>
        </w:rPr>
        <w:t xml:space="preserve"> </w:t>
      </w:r>
    </w:p>
    <w:p w:rsidR="003C129E" w:rsidRDefault="003C129E" w:rsidP="004A6982">
      <w:pPr>
        <w:rPr>
          <w:rFonts w:cs="Arial"/>
        </w:rPr>
      </w:pPr>
      <w:r w:rsidRPr="00647191">
        <w:rPr>
          <w:rFonts w:cs="Arial"/>
        </w:rPr>
        <w:t>You must complete all of the steps above for us to consider your application. We are sorry but incomplete applications will not be considered.</w:t>
      </w:r>
    </w:p>
    <w:p w:rsidR="003C129E" w:rsidRPr="00647191" w:rsidRDefault="003C129E" w:rsidP="004A6982">
      <w:pPr>
        <w:rPr>
          <w:rFonts w:cs="Arial"/>
        </w:rPr>
      </w:pPr>
    </w:p>
    <w:p w:rsidR="00FA0ECB" w:rsidRPr="00647191" w:rsidRDefault="00645B04" w:rsidP="004A6982">
      <w:pPr>
        <w:rPr>
          <w:rFonts w:cs="Arial"/>
          <w:b/>
        </w:rPr>
      </w:pPr>
      <w:r w:rsidRPr="00647191">
        <w:rPr>
          <w:rFonts w:cs="Arial"/>
        </w:rPr>
        <w:t>Deadline for submission</w:t>
      </w:r>
      <w:r w:rsidR="00402AF2" w:rsidRPr="00647191">
        <w:rPr>
          <w:rFonts w:cs="Arial"/>
        </w:rPr>
        <w:t xml:space="preserve"> of</w:t>
      </w:r>
      <w:r w:rsidRPr="00647191">
        <w:rPr>
          <w:rFonts w:cs="Arial"/>
        </w:rPr>
        <w:t xml:space="preserve"> your</w:t>
      </w:r>
      <w:r w:rsidR="00402AF2" w:rsidRPr="00647191">
        <w:rPr>
          <w:rFonts w:cs="Arial"/>
        </w:rPr>
        <w:t xml:space="preserve"> </w:t>
      </w:r>
      <w:r w:rsidR="00FA0ECB" w:rsidRPr="00647191">
        <w:rPr>
          <w:rFonts w:cs="Arial"/>
        </w:rPr>
        <w:t>application</w:t>
      </w:r>
      <w:r w:rsidR="00673452" w:rsidRPr="00647191">
        <w:rPr>
          <w:rFonts w:cs="Arial"/>
        </w:rPr>
        <w:t xml:space="preserve"> </w:t>
      </w:r>
      <w:r w:rsidR="00BF3E08" w:rsidRPr="00647191">
        <w:rPr>
          <w:rFonts w:cs="Arial"/>
        </w:rPr>
        <w:t>is:</w:t>
      </w:r>
      <w:r w:rsidR="0003229D">
        <w:rPr>
          <w:rFonts w:cs="Arial"/>
        </w:rPr>
        <w:t xml:space="preserve"> </w:t>
      </w:r>
      <w:r w:rsidR="000C2CCB" w:rsidRPr="000C2CCB">
        <w:rPr>
          <w:rFonts w:cs="Arial"/>
          <w:b/>
        </w:rPr>
        <w:t xml:space="preserve">Noon, Tuesday </w:t>
      </w:r>
      <w:r w:rsidR="005E6CB3">
        <w:rPr>
          <w:rFonts w:cs="Arial"/>
          <w:b/>
        </w:rPr>
        <w:t>31</w:t>
      </w:r>
      <w:r w:rsidR="005E6CB3" w:rsidRPr="005E6CB3">
        <w:rPr>
          <w:rFonts w:cs="Arial"/>
          <w:b/>
          <w:vertAlign w:val="superscript"/>
        </w:rPr>
        <w:t>st</w:t>
      </w:r>
      <w:r w:rsidR="005E6CB3">
        <w:rPr>
          <w:rFonts w:cs="Arial"/>
          <w:b/>
        </w:rPr>
        <w:t xml:space="preserve"> January 2022</w:t>
      </w:r>
    </w:p>
    <w:p w:rsidR="000C2CCB" w:rsidRDefault="000C2CCB" w:rsidP="004A6982">
      <w:pPr>
        <w:rPr>
          <w:rFonts w:cs="Arial"/>
        </w:rPr>
      </w:pPr>
    </w:p>
    <w:p w:rsidR="00402AF2" w:rsidRPr="00647191" w:rsidRDefault="00402AF2" w:rsidP="004A6982">
      <w:pPr>
        <w:rPr>
          <w:rFonts w:cs="Arial"/>
        </w:rPr>
      </w:pPr>
      <w:r w:rsidRPr="00647191">
        <w:rPr>
          <w:rFonts w:cs="Arial"/>
        </w:rPr>
        <w:t xml:space="preserve">All applicants can expect to be notified of the outcome of their </w:t>
      </w:r>
      <w:r w:rsidR="00FA0ECB" w:rsidRPr="00647191">
        <w:rPr>
          <w:rFonts w:cs="Arial"/>
        </w:rPr>
        <w:t>application</w:t>
      </w:r>
      <w:r w:rsidRPr="00647191">
        <w:rPr>
          <w:rFonts w:cs="Arial"/>
        </w:rPr>
        <w:t xml:space="preserve"> within </w:t>
      </w:r>
      <w:r w:rsidR="00C87CB3" w:rsidRPr="00647191">
        <w:rPr>
          <w:rFonts w:cs="Arial"/>
        </w:rPr>
        <w:t>six</w:t>
      </w:r>
      <w:r w:rsidR="003A128D" w:rsidRPr="00647191">
        <w:rPr>
          <w:rFonts w:cs="Arial"/>
        </w:rPr>
        <w:t xml:space="preserve"> - eight</w:t>
      </w:r>
      <w:r w:rsidRPr="00647191">
        <w:rPr>
          <w:rFonts w:cs="Arial"/>
        </w:rPr>
        <w:t xml:space="preserve"> weeks of submission. </w:t>
      </w:r>
    </w:p>
    <w:p w:rsidR="00402AF2" w:rsidRPr="00647191" w:rsidRDefault="00402AF2" w:rsidP="004A6982">
      <w:pPr>
        <w:rPr>
          <w:rFonts w:cs="Arial"/>
        </w:rPr>
      </w:pPr>
    </w:p>
    <w:p w:rsidR="00402AF2" w:rsidRPr="00647191" w:rsidRDefault="00402AF2" w:rsidP="004A6982">
      <w:pPr>
        <w:rPr>
          <w:rFonts w:cs="Arial"/>
        </w:rPr>
      </w:pPr>
      <w:r w:rsidRPr="00647191">
        <w:rPr>
          <w:rFonts w:cs="Arial"/>
        </w:rPr>
        <w:t xml:space="preserve">Successful projects will commence </w:t>
      </w:r>
      <w:r w:rsidR="00AB1A30">
        <w:rPr>
          <w:rFonts w:cs="Arial"/>
        </w:rPr>
        <w:t>March</w:t>
      </w:r>
      <w:r w:rsidR="0003229D" w:rsidRPr="0003229D">
        <w:rPr>
          <w:rFonts w:cs="Arial"/>
        </w:rPr>
        <w:t xml:space="preserve"> 2022</w:t>
      </w:r>
      <w:r w:rsidRPr="00647191">
        <w:rPr>
          <w:rFonts w:cs="Arial"/>
        </w:rPr>
        <w:t xml:space="preserve">. </w:t>
      </w:r>
    </w:p>
    <w:p w:rsidR="00587B11" w:rsidRPr="00647191" w:rsidRDefault="00587B11" w:rsidP="004A6982">
      <w:pPr>
        <w:rPr>
          <w:rFonts w:cs="Arial"/>
        </w:rPr>
      </w:pPr>
    </w:p>
    <w:p w:rsidR="00587B11" w:rsidRPr="00744A14" w:rsidRDefault="00587B11" w:rsidP="00744A14">
      <w:pPr>
        <w:pStyle w:val="Heading1"/>
      </w:pPr>
      <w:bookmarkStart w:id="37" w:name="_Toc118719503"/>
      <w:r w:rsidRPr="00744A14">
        <w:t>Reporting requirements</w:t>
      </w:r>
      <w:bookmarkEnd w:id="37"/>
      <w:r w:rsidRPr="00744A14">
        <w:t xml:space="preserve"> </w:t>
      </w:r>
    </w:p>
    <w:p w:rsidR="00587B11" w:rsidRPr="00647191" w:rsidRDefault="00587B11" w:rsidP="00587B11">
      <w:pPr>
        <w:suppressAutoHyphens/>
        <w:rPr>
          <w:rFonts w:cs="Arial"/>
          <w:color w:val="000000" w:themeColor="text1"/>
        </w:rPr>
      </w:pPr>
    </w:p>
    <w:p w:rsidR="00D8179F" w:rsidRPr="00647191" w:rsidRDefault="00C87CB3" w:rsidP="00587B11">
      <w:pPr>
        <w:suppressAutoHyphens/>
        <w:rPr>
          <w:rFonts w:cs="Arial"/>
          <w:color w:val="000000" w:themeColor="text1"/>
        </w:rPr>
      </w:pPr>
      <w:r w:rsidRPr="00647191">
        <w:rPr>
          <w:rFonts w:cs="Arial"/>
          <w:color w:val="000000" w:themeColor="text1"/>
        </w:rPr>
        <w:t>Successful</w:t>
      </w:r>
      <w:r w:rsidR="00587B11" w:rsidRPr="00647191">
        <w:rPr>
          <w:rFonts w:cs="Arial"/>
          <w:color w:val="000000" w:themeColor="text1"/>
        </w:rPr>
        <w:t xml:space="preserve"> </w:t>
      </w:r>
      <w:r w:rsidR="00E808AD" w:rsidRPr="00647191">
        <w:rPr>
          <w:rFonts w:cs="Arial"/>
          <w:color w:val="000000" w:themeColor="text1"/>
        </w:rPr>
        <w:t>applicant</w:t>
      </w:r>
      <w:r w:rsidRPr="00647191">
        <w:rPr>
          <w:rFonts w:cs="Arial"/>
          <w:color w:val="000000" w:themeColor="text1"/>
        </w:rPr>
        <w:t>s will need</w:t>
      </w:r>
      <w:r w:rsidR="00587B11" w:rsidRPr="00647191">
        <w:rPr>
          <w:rFonts w:cs="Arial"/>
          <w:color w:val="000000" w:themeColor="text1"/>
        </w:rPr>
        <w:t xml:space="preserve"> to</w:t>
      </w:r>
      <w:r w:rsidR="00706DEA" w:rsidRPr="00647191">
        <w:rPr>
          <w:rFonts w:cs="Arial"/>
          <w:color w:val="000000" w:themeColor="text1"/>
        </w:rPr>
        <w:t xml:space="preserve"> work with us to develop a grant reporting schedule providing updates on key milestones for your project. Payment of your grant will be linked to meeting the key milestones that we agree together.</w:t>
      </w:r>
      <w:r w:rsidR="00587B11" w:rsidRPr="00647191">
        <w:rPr>
          <w:rFonts w:cs="Arial"/>
          <w:color w:val="000000" w:themeColor="text1"/>
        </w:rPr>
        <w:t xml:space="preserve"> </w:t>
      </w:r>
    </w:p>
    <w:p w:rsidR="00D8179F" w:rsidRPr="00647191" w:rsidRDefault="00D8179F" w:rsidP="00587B11">
      <w:pPr>
        <w:suppressAutoHyphens/>
        <w:rPr>
          <w:rFonts w:cs="Arial"/>
          <w:color w:val="000000" w:themeColor="text1"/>
        </w:rPr>
      </w:pPr>
    </w:p>
    <w:p w:rsidR="00D8179F" w:rsidRPr="00647191" w:rsidRDefault="00587B11" w:rsidP="00587B11">
      <w:pPr>
        <w:suppressAutoHyphens/>
        <w:rPr>
          <w:rFonts w:cs="Arial"/>
          <w:color w:val="000000" w:themeColor="text1"/>
        </w:rPr>
      </w:pPr>
      <w:r w:rsidRPr="00647191">
        <w:rPr>
          <w:rFonts w:cs="Arial"/>
          <w:color w:val="000000" w:themeColor="text1"/>
        </w:rPr>
        <w:t xml:space="preserve">All projects will be required to submit a </w:t>
      </w:r>
      <w:r w:rsidR="00F55711">
        <w:rPr>
          <w:rFonts w:cs="Arial"/>
          <w:color w:val="000000" w:themeColor="text1"/>
        </w:rPr>
        <w:t xml:space="preserve">minimum mind-point monitoring report and evaluation </w:t>
      </w:r>
      <w:r w:rsidRPr="00647191">
        <w:rPr>
          <w:rFonts w:cs="Arial"/>
          <w:color w:val="000000" w:themeColor="text1"/>
        </w:rPr>
        <w:t xml:space="preserve">report at project close; quarterly reports may also be required dependent on the project length. </w:t>
      </w:r>
    </w:p>
    <w:p w:rsidR="00D8179F" w:rsidRPr="00647191" w:rsidRDefault="00D8179F" w:rsidP="00587B11">
      <w:pPr>
        <w:suppressAutoHyphens/>
        <w:rPr>
          <w:rFonts w:cs="Arial"/>
          <w:color w:val="000000" w:themeColor="text1"/>
        </w:rPr>
      </w:pPr>
    </w:p>
    <w:p w:rsidR="00C87CB3" w:rsidRPr="00647191" w:rsidRDefault="00907B01" w:rsidP="00587B11">
      <w:pPr>
        <w:suppressAutoHyphens/>
        <w:rPr>
          <w:rFonts w:cs="Arial"/>
          <w:color w:val="000000" w:themeColor="text1"/>
        </w:rPr>
      </w:pPr>
      <w:r w:rsidRPr="00291099">
        <w:rPr>
          <w:rFonts w:cs="Arial"/>
          <w:color w:val="000000" w:themeColor="text1"/>
        </w:rPr>
        <w:t>Successful applicants will also be required to p</w:t>
      </w:r>
      <w:r w:rsidR="00C87CB3" w:rsidRPr="00291099">
        <w:rPr>
          <w:rFonts w:cs="Arial"/>
          <w:color w:val="000000" w:themeColor="text1"/>
        </w:rPr>
        <w:t xml:space="preserve">articipate in </w:t>
      </w:r>
      <w:r w:rsidRPr="00291099">
        <w:rPr>
          <w:rFonts w:cs="Arial"/>
          <w:color w:val="000000" w:themeColor="text1"/>
        </w:rPr>
        <w:t xml:space="preserve">the </w:t>
      </w:r>
      <w:r w:rsidR="00C87CB3" w:rsidRPr="00291099">
        <w:rPr>
          <w:rFonts w:cs="Arial"/>
          <w:color w:val="000000" w:themeColor="text1"/>
        </w:rPr>
        <w:t xml:space="preserve">overall evaluation of the </w:t>
      </w:r>
      <w:r w:rsidR="00F55711">
        <w:rPr>
          <w:rFonts w:cs="Arial"/>
          <w:color w:val="000000" w:themeColor="text1"/>
        </w:rPr>
        <w:t>programme</w:t>
      </w:r>
      <w:r w:rsidRPr="00291099">
        <w:rPr>
          <w:rFonts w:cs="Arial"/>
          <w:color w:val="000000" w:themeColor="text1"/>
        </w:rPr>
        <w:t>.</w:t>
      </w:r>
      <w:r w:rsidRPr="00647191">
        <w:rPr>
          <w:rFonts w:cs="Arial"/>
          <w:color w:val="000000" w:themeColor="text1"/>
        </w:rPr>
        <w:t xml:space="preserve"> </w:t>
      </w:r>
      <w:r w:rsidR="00C87CB3" w:rsidRPr="00647191">
        <w:rPr>
          <w:rFonts w:cs="Arial"/>
          <w:color w:val="000000" w:themeColor="text1"/>
        </w:rPr>
        <w:t xml:space="preserve"> </w:t>
      </w:r>
    </w:p>
    <w:p w:rsidR="00587B11" w:rsidRDefault="00587B11" w:rsidP="004A6982">
      <w:pPr>
        <w:rPr>
          <w:rFonts w:cs="Arial"/>
        </w:rPr>
      </w:pPr>
    </w:p>
    <w:p w:rsidR="00CB5F02" w:rsidRPr="00647191" w:rsidRDefault="00CB5F02" w:rsidP="004A6982">
      <w:pPr>
        <w:rPr>
          <w:rFonts w:cs="Arial"/>
        </w:rPr>
      </w:pPr>
    </w:p>
    <w:p w:rsidR="00587B11" w:rsidRPr="00744A14" w:rsidRDefault="00587B11" w:rsidP="00744A14">
      <w:pPr>
        <w:pStyle w:val="Heading1"/>
      </w:pPr>
      <w:bookmarkStart w:id="38" w:name="_Toc118719504"/>
      <w:r w:rsidRPr="00744A14">
        <w:t>Selection Process</w:t>
      </w:r>
      <w:bookmarkEnd w:id="38"/>
      <w:r w:rsidRPr="00744A14">
        <w:t xml:space="preserve"> </w:t>
      </w:r>
    </w:p>
    <w:p w:rsidR="00587B11" w:rsidRPr="00647191" w:rsidRDefault="00587B11" w:rsidP="004A6982">
      <w:pPr>
        <w:rPr>
          <w:rFonts w:cs="Arial"/>
          <w:b/>
        </w:rPr>
      </w:pPr>
    </w:p>
    <w:p w:rsidR="00AF7CD2" w:rsidRPr="00647191" w:rsidRDefault="00AF7CD2" w:rsidP="00587B11">
      <w:pPr>
        <w:suppressAutoHyphens/>
        <w:rPr>
          <w:rFonts w:cs="Arial"/>
        </w:rPr>
      </w:pPr>
      <w:r w:rsidRPr="00647191">
        <w:rPr>
          <w:rFonts w:cs="Arial"/>
        </w:rPr>
        <w:t xml:space="preserve">Once we receive your </w:t>
      </w:r>
      <w:r w:rsidR="00FA0ECB" w:rsidRPr="00647191">
        <w:rPr>
          <w:rFonts w:cs="Arial"/>
        </w:rPr>
        <w:t>application</w:t>
      </w:r>
      <w:r w:rsidRPr="00647191">
        <w:rPr>
          <w:rFonts w:cs="Arial"/>
        </w:rPr>
        <w:t xml:space="preserve">, we will check that you are eligible and have supplied the information we need. </w:t>
      </w:r>
    </w:p>
    <w:p w:rsidR="00AF7CD2" w:rsidRPr="00647191" w:rsidRDefault="00AF7CD2" w:rsidP="00587B11">
      <w:pPr>
        <w:suppressAutoHyphens/>
        <w:rPr>
          <w:rFonts w:cs="Arial"/>
        </w:rPr>
      </w:pPr>
    </w:p>
    <w:p w:rsidR="00587B11" w:rsidRPr="00647191" w:rsidRDefault="00A26B4D" w:rsidP="00587B11">
      <w:pPr>
        <w:suppressAutoHyphens/>
        <w:rPr>
          <w:rFonts w:cs="Arial"/>
          <w:color w:val="000000" w:themeColor="text1"/>
        </w:rPr>
      </w:pPr>
      <w:r w:rsidRPr="00A26B4D">
        <w:rPr>
          <w:rFonts w:cs="Arial"/>
        </w:rPr>
        <w:t>There will be a</w:t>
      </w:r>
      <w:r w:rsidR="0003229D">
        <w:rPr>
          <w:rFonts w:cs="Arial"/>
        </w:rPr>
        <w:t>n assessment</w:t>
      </w:r>
      <w:r w:rsidRPr="00A26B4D">
        <w:rPr>
          <w:rFonts w:cs="Arial"/>
        </w:rPr>
        <w:t xml:space="preserve"> panel to evaluate the applications and each application will be scored, recognising innovation, intended demonstrable outcome</w:t>
      </w:r>
      <w:r w:rsidR="008D1379">
        <w:rPr>
          <w:rFonts w:cs="Arial"/>
        </w:rPr>
        <w:t xml:space="preserve">/impact, collaboration/partnership working, </w:t>
      </w:r>
      <w:r w:rsidR="009D684A">
        <w:rPr>
          <w:rFonts w:cs="Arial"/>
        </w:rPr>
        <w:t xml:space="preserve">utilising the voice of lived experience </w:t>
      </w:r>
      <w:r w:rsidR="008D1379">
        <w:rPr>
          <w:rFonts w:cs="Arial"/>
        </w:rPr>
        <w:t>and value for money</w:t>
      </w:r>
      <w:r w:rsidRPr="00A26B4D">
        <w:rPr>
          <w:rFonts w:cs="Arial"/>
        </w:rPr>
        <w:t>. The panel will consist of M</w:t>
      </w:r>
      <w:r w:rsidR="00C17971">
        <w:rPr>
          <w:rFonts w:cs="Arial"/>
        </w:rPr>
        <w:t>ental Health NHS</w:t>
      </w:r>
      <w:r w:rsidRPr="00A26B4D">
        <w:rPr>
          <w:rFonts w:cs="Arial"/>
        </w:rPr>
        <w:t xml:space="preserve"> Commissioners, experts by experience, VCSE and Local Authority.</w:t>
      </w:r>
      <w:r>
        <w:rPr>
          <w:rFonts w:cs="Arial"/>
        </w:rPr>
        <w:t xml:space="preserve"> </w:t>
      </w:r>
    </w:p>
    <w:p w:rsidR="00C925C5" w:rsidRPr="00647191" w:rsidRDefault="00C925C5" w:rsidP="00587B11">
      <w:pPr>
        <w:suppressAutoHyphens/>
        <w:rPr>
          <w:rFonts w:cs="Arial"/>
          <w:color w:val="000000" w:themeColor="text1"/>
        </w:rPr>
      </w:pPr>
    </w:p>
    <w:p w:rsidR="001763B5" w:rsidRPr="00647191" w:rsidRDefault="001763B5" w:rsidP="00587B11">
      <w:pPr>
        <w:suppressAutoHyphens/>
        <w:rPr>
          <w:rFonts w:cs="Arial"/>
          <w:color w:val="000000" w:themeColor="text1"/>
        </w:rPr>
      </w:pPr>
      <w:r w:rsidRPr="00647191">
        <w:rPr>
          <w:rFonts w:cs="Arial"/>
          <w:color w:val="000000" w:themeColor="text1"/>
        </w:rPr>
        <w:t xml:space="preserve">Once the </w:t>
      </w:r>
      <w:r w:rsidR="00FA0ECB" w:rsidRPr="00647191">
        <w:rPr>
          <w:rFonts w:cs="Arial"/>
          <w:color w:val="000000" w:themeColor="text1"/>
        </w:rPr>
        <w:t>application</w:t>
      </w:r>
      <w:r w:rsidRPr="00647191">
        <w:rPr>
          <w:rFonts w:cs="Arial"/>
          <w:color w:val="000000" w:themeColor="text1"/>
        </w:rPr>
        <w:t xml:space="preserve"> is received, the applicant will be notified within </w:t>
      </w:r>
      <w:r w:rsidR="00527A37" w:rsidRPr="00647191">
        <w:rPr>
          <w:rFonts w:cs="Arial"/>
          <w:color w:val="000000" w:themeColor="text1"/>
        </w:rPr>
        <w:t>a</w:t>
      </w:r>
      <w:r w:rsidRPr="00647191">
        <w:rPr>
          <w:rFonts w:cs="Arial"/>
          <w:color w:val="000000" w:themeColor="text1"/>
        </w:rPr>
        <w:t xml:space="preserve">pproximately </w:t>
      </w:r>
      <w:r w:rsidR="00F01E02" w:rsidRPr="00647191">
        <w:rPr>
          <w:rFonts w:cs="Arial"/>
          <w:color w:val="000000" w:themeColor="text1"/>
        </w:rPr>
        <w:t>eight</w:t>
      </w:r>
      <w:r w:rsidR="00C87CB3" w:rsidRPr="00647191">
        <w:rPr>
          <w:rFonts w:cs="Arial"/>
          <w:color w:val="000000" w:themeColor="text1"/>
        </w:rPr>
        <w:t xml:space="preserve"> weeks</w:t>
      </w:r>
      <w:r w:rsidRPr="00647191">
        <w:rPr>
          <w:rFonts w:cs="Arial"/>
          <w:color w:val="000000" w:themeColor="text1"/>
        </w:rPr>
        <w:t xml:space="preserve"> if they have been successful.</w:t>
      </w:r>
    </w:p>
    <w:p w:rsidR="001763B5" w:rsidRPr="00647191" w:rsidRDefault="001763B5" w:rsidP="00587B11">
      <w:pPr>
        <w:suppressAutoHyphens/>
        <w:rPr>
          <w:rFonts w:cs="Arial"/>
          <w:color w:val="000000" w:themeColor="text1"/>
        </w:rPr>
      </w:pPr>
    </w:p>
    <w:p w:rsidR="001763B5" w:rsidRPr="00647191" w:rsidRDefault="001763B5" w:rsidP="001763B5">
      <w:pPr>
        <w:suppressAutoHyphens/>
        <w:rPr>
          <w:rFonts w:cs="Arial"/>
          <w:color w:val="000000" w:themeColor="text1"/>
        </w:rPr>
      </w:pPr>
      <w:r w:rsidRPr="00647191">
        <w:rPr>
          <w:rFonts w:cs="Arial"/>
          <w:b/>
          <w:bCs/>
          <w:color w:val="000000" w:themeColor="text1"/>
        </w:rPr>
        <w:t>Due diligence assessments</w:t>
      </w:r>
      <w:r w:rsidRPr="00647191">
        <w:rPr>
          <w:rFonts w:cs="Arial"/>
          <w:color w:val="000000" w:themeColor="text1"/>
        </w:rPr>
        <w:t xml:space="preserve"> of all </w:t>
      </w:r>
      <w:r w:rsidR="008D1379">
        <w:rPr>
          <w:rFonts w:cs="Arial"/>
          <w:color w:val="000000" w:themeColor="text1"/>
        </w:rPr>
        <w:t>sho</w:t>
      </w:r>
      <w:r w:rsidR="001224B7">
        <w:rPr>
          <w:rFonts w:cs="Arial"/>
          <w:color w:val="000000" w:themeColor="text1"/>
        </w:rPr>
        <w:t>r</w:t>
      </w:r>
      <w:r w:rsidR="008D1379">
        <w:rPr>
          <w:rFonts w:cs="Arial"/>
          <w:color w:val="000000" w:themeColor="text1"/>
        </w:rPr>
        <w:t>tlisted</w:t>
      </w:r>
      <w:r w:rsidRPr="00647191">
        <w:rPr>
          <w:rFonts w:cs="Arial"/>
          <w:color w:val="000000" w:themeColor="text1"/>
        </w:rPr>
        <w:t xml:space="preserve"> organisations will be undertaken. The process at this stage will complete the assessment of whether the applicant organisation and any project implementation partners have the necessary policies, processes, governance systems and resources to deliver the project successfully. This includes human resources - ensuring the organisation has the right skills and experience to manage charitable funds accountably and for the purpose they were awarded. </w:t>
      </w:r>
    </w:p>
    <w:p w:rsidR="00F2529B" w:rsidRPr="00647191" w:rsidRDefault="00F2529B" w:rsidP="00587B11">
      <w:pPr>
        <w:suppressAutoHyphens/>
        <w:rPr>
          <w:rFonts w:cs="Arial"/>
        </w:rPr>
      </w:pPr>
    </w:p>
    <w:p w:rsidR="00F2529B" w:rsidRPr="00647191" w:rsidRDefault="000A29DC" w:rsidP="004A6982">
      <w:pPr>
        <w:rPr>
          <w:rFonts w:cs="Arial"/>
          <w:b/>
        </w:rPr>
      </w:pPr>
      <w:r w:rsidRPr="00647191">
        <w:rPr>
          <w:rFonts w:cs="Arial"/>
          <w:b/>
        </w:rPr>
        <w:t>For more information</w:t>
      </w:r>
    </w:p>
    <w:p w:rsidR="00587B11" w:rsidRPr="00647191" w:rsidRDefault="000A29DC" w:rsidP="004A6982">
      <w:pPr>
        <w:rPr>
          <w:rFonts w:cs="Arial"/>
          <w:b/>
        </w:rPr>
      </w:pPr>
      <w:r w:rsidRPr="00647191">
        <w:rPr>
          <w:rFonts w:cs="Arial"/>
          <w:b/>
        </w:rPr>
        <w:t xml:space="preserve"> </w:t>
      </w:r>
    </w:p>
    <w:p w:rsidR="000A29DC" w:rsidRPr="000A29DC" w:rsidRDefault="000A29DC" w:rsidP="004A6982">
      <w:pPr>
        <w:rPr>
          <w:rFonts w:cs="Arial"/>
        </w:rPr>
      </w:pPr>
      <w:r w:rsidRPr="00647191">
        <w:rPr>
          <w:rFonts w:cs="Arial"/>
        </w:rPr>
        <w:t xml:space="preserve">Please send any enquiries to </w:t>
      </w:r>
      <w:hyperlink r:id="rId16" w:history="1">
        <w:r w:rsidR="008D1379" w:rsidRPr="00A220CF">
          <w:rPr>
            <w:rStyle w:val="Hyperlink"/>
            <w:rFonts w:cs="Arial"/>
          </w:rPr>
          <w:t>GrantsHeadsOn@sussexpartnership.nhs.uk</w:t>
        </w:r>
      </w:hyperlink>
      <w:r w:rsidR="008D1379">
        <w:rPr>
          <w:rFonts w:cs="Arial"/>
          <w:highlight w:val="yellow"/>
        </w:rPr>
        <w:t xml:space="preserve"> </w:t>
      </w:r>
    </w:p>
    <w:sectPr w:rsidR="000A29DC" w:rsidRPr="000A29DC" w:rsidSect="00744A14">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EFD" w:rsidRDefault="00B21EFD" w:rsidP="00F32E55">
      <w:r>
        <w:separator/>
      </w:r>
    </w:p>
  </w:endnote>
  <w:endnote w:type="continuationSeparator" w:id="0">
    <w:p w:rsidR="00B21EFD" w:rsidRDefault="00B21EFD" w:rsidP="00F3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639573"/>
      <w:docPartObj>
        <w:docPartGallery w:val="Page Numbers (Bottom of Page)"/>
        <w:docPartUnique/>
      </w:docPartObj>
    </w:sdtPr>
    <w:sdtEndPr>
      <w:rPr>
        <w:noProof/>
      </w:rPr>
    </w:sdtEndPr>
    <w:sdtContent>
      <w:p w:rsidR="00744A14" w:rsidRDefault="00744A14">
        <w:pPr>
          <w:pStyle w:val="Footer"/>
        </w:pPr>
        <w:r>
          <w:fldChar w:fldCharType="begin"/>
        </w:r>
        <w:r>
          <w:instrText xml:space="preserve"> PAGE   \* MERGEFORMAT </w:instrText>
        </w:r>
        <w:r>
          <w:fldChar w:fldCharType="separate"/>
        </w:r>
        <w:r>
          <w:rPr>
            <w:noProof/>
          </w:rPr>
          <w:t>2</w:t>
        </w:r>
        <w:r>
          <w:rPr>
            <w:noProof/>
          </w:rPr>
          <w:fldChar w:fldCharType="end"/>
        </w:r>
      </w:p>
    </w:sdtContent>
  </w:sdt>
  <w:p w:rsidR="00D33B29" w:rsidRDefault="00D3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EFD" w:rsidRDefault="00B21EFD" w:rsidP="00F32E55">
      <w:r>
        <w:separator/>
      </w:r>
    </w:p>
  </w:footnote>
  <w:footnote w:type="continuationSeparator" w:id="0">
    <w:p w:rsidR="00B21EFD" w:rsidRDefault="00B21EFD" w:rsidP="00F3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3BF"/>
    <w:multiLevelType w:val="hybridMultilevel"/>
    <w:tmpl w:val="367484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20A7C"/>
    <w:multiLevelType w:val="multilevel"/>
    <w:tmpl w:val="EEF86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7281B"/>
    <w:multiLevelType w:val="hybridMultilevel"/>
    <w:tmpl w:val="8102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A76B2"/>
    <w:multiLevelType w:val="hybridMultilevel"/>
    <w:tmpl w:val="A36A80D2"/>
    <w:lvl w:ilvl="0" w:tplc="5C2C9CEC">
      <w:start w:val="1"/>
      <w:numFmt w:val="bullet"/>
      <w:lvlText w:val="•"/>
      <w:lvlJc w:val="left"/>
      <w:pPr>
        <w:tabs>
          <w:tab w:val="num" w:pos="720"/>
        </w:tabs>
        <w:ind w:left="720" w:hanging="360"/>
      </w:pPr>
      <w:rPr>
        <w:rFonts w:ascii="Arial" w:hAnsi="Arial" w:hint="default"/>
      </w:rPr>
    </w:lvl>
    <w:lvl w:ilvl="1" w:tplc="ADAE74C8" w:tentative="1">
      <w:start w:val="1"/>
      <w:numFmt w:val="bullet"/>
      <w:lvlText w:val="•"/>
      <w:lvlJc w:val="left"/>
      <w:pPr>
        <w:tabs>
          <w:tab w:val="num" w:pos="1440"/>
        </w:tabs>
        <w:ind w:left="1440" w:hanging="360"/>
      </w:pPr>
      <w:rPr>
        <w:rFonts w:ascii="Arial" w:hAnsi="Arial" w:hint="default"/>
      </w:rPr>
    </w:lvl>
    <w:lvl w:ilvl="2" w:tplc="BD469E84" w:tentative="1">
      <w:start w:val="1"/>
      <w:numFmt w:val="bullet"/>
      <w:lvlText w:val="•"/>
      <w:lvlJc w:val="left"/>
      <w:pPr>
        <w:tabs>
          <w:tab w:val="num" w:pos="2160"/>
        </w:tabs>
        <w:ind w:left="2160" w:hanging="360"/>
      </w:pPr>
      <w:rPr>
        <w:rFonts w:ascii="Arial" w:hAnsi="Arial" w:hint="default"/>
      </w:rPr>
    </w:lvl>
    <w:lvl w:ilvl="3" w:tplc="A0242E9C" w:tentative="1">
      <w:start w:val="1"/>
      <w:numFmt w:val="bullet"/>
      <w:lvlText w:val="•"/>
      <w:lvlJc w:val="left"/>
      <w:pPr>
        <w:tabs>
          <w:tab w:val="num" w:pos="2880"/>
        </w:tabs>
        <w:ind w:left="2880" w:hanging="360"/>
      </w:pPr>
      <w:rPr>
        <w:rFonts w:ascii="Arial" w:hAnsi="Arial" w:hint="default"/>
      </w:rPr>
    </w:lvl>
    <w:lvl w:ilvl="4" w:tplc="9A58A7A0" w:tentative="1">
      <w:start w:val="1"/>
      <w:numFmt w:val="bullet"/>
      <w:lvlText w:val="•"/>
      <w:lvlJc w:val="left"/>
      <w:pPr>
        <w:tabs>
          <w:tab w:val="num" w:pos="3600"/>
        </w:tabs>
        <w:ind w:left="3600" w:hanging="360"/>
      </w:pPr>
      <w:rPr>
        <w:rFonts w:ascii="Arial" w:hAnsi="Arial" w:hint="default"/>
      </w:rPr>
    </w:lvl>
    <w:lvl w:ilvl="5" w:tplc="17E2B728" w:tentative="1">
      <w:start w:val="1"/>
      <w:numFmt w:val="bullet"/>
      <w:lvlText w:val="•"/>
      <w:lvlJc w:val="left"/>
      <w:pPr>
        <w:tabs>
          <w:tab w:val="num" w:pos="4320"/>
        </w:tabs>
        <w:ind w:left="4320" w:hanging="360"/>
      </w:pPr>
      <w:rPr>
        <w:rFonts w:ascii="Arial" w:hAnsi="Arial" w:hint="default"/>
      </w:rPr>
    </w:lvl>
    <w:lvl w:ilvl="6" w:tplc="220EEC14" w:tentative="1">
      <w:start w:val="1"/>
      <w:numFmt w:val="bullet"/>
      <w:lvlText w:val="•"/>
      <w:lvlJc w:val="left"/>
      <w:pPr>
        <w:tabs>
          <w:tab w:val="num" w:pos="5040"/>
        </w:tabs>
        <w:ind w:left="5040" w:hanging="360"/>
      </w:pPr>
      <w:rPr>
        <w:rFonts w:ascii="Arial" w:hAnsi="Arial" w:hint="default"/>
      </w:rPr>
    </w:lvl>
    <w:lvl w:ilvl="7" w:tplc="425AEBA2" w:tentative="1">
      <w:start w:val="1"/>
      <w:numFmt w:val="bullet"/>
      <w:lvlText w:val="•"/>
      <w:lvlJc w:val="left"/>
      <w:pPr>
        <w:tabs>
          <w:tab w:val="num" w:pos="5760"/>
        </w:tabs>
        <w:ind w:left="5760" w:hanging="360"/>
      </w:pPr>
      <w:rPr>
        <w:rFonts w:ascii="Arial" w:hAnsi="Arial" w:hint="default"/>
      </w:rPr>
    </w:lvl>
    <w:lvl w:ilvl="8" w:tplc="34BED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4E54F4"/>
    <w:multiLevelType w:val="hybridMultilevel"/>
    <w:tmpl w:val="AED83B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A83D2C"/>
    <w:multiLevelType w:val="hybridMultilevel"/>
    <w:tmpl w:val="1A10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3146B0"/>
    <w:multiLevelType w:val="hybridMultilevel"/>
    <w:tmpl w:val="3F54D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7D2F19"/>
    <w:multiLevelType w:val="hybridMultilevel"/>
    <w:tmpl w:val="11EA8818"/>
    <w:lvl w:ilvl="0" w:tplc="062C2B64">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6D53CC"/>
    <w:multiLevelType w:val="hybridMultilevel"/>
    <w:tmpl w:val="2390960C"/>
    <w:lvl w:ilvl="0" w:tplc="DC5400EE">
      <w:start w:val="1"/>
      <w:numFmt w:val="bullet"/>
      <w:lvlText w:val="•"/>
      <w:lvlJc w:val="left"/>
      <w:pPr>
        <w:tabs>
          <w:tab w:val="num" w:pos="720"/>
        </w:tabs>
        <w:ind w:left="720" w:hanging="360"/>
      </w:pPr>
      <w:rPr>
        <w:rFonts w:ascii="Arial" w:hAnsi="Arial" w:hint="default"/>
      </w:rPr>
    </w:lvl>
    <w:lvl w:ilvl="1" w:tplc="FDE02E5E" w:tentative="1">
      <w:start w:val="1"/>
      <w:numFmt w:val="bullet"/>
      <w:lvlText w:val="•"/>
      <w:lvlJc w:val="left"/>
      <w:pPr>
        <w:tabs>
          <w:tab w:val="num" w:pos="1440"/>
        </w:tabs>
        <w:ind w:left="1440" w:hanging="360"/>
      </w:pPr>
      <w:rPr>
        <w:rFonts w:ascii="Arial" w:hAnsi="Arial" w:hint="default"/>
      </w:rPr>
    </w:lvl>
    <w:lvl w:ilvl="2" w:tplc="432EC8C8" w:tentative="1">
      <w:start w:val="1"/>
      <w:numFmt w:val="bullet"/>
      <w:lvlText w:val="•"/>
      <w:lvlJc w:val="left"/>
      <w:pPr>
        <w:tabs>
          <w:tab w:val="num" w:pos="2160"/>
        </w:tabs>
        <w:ind w:left="2160" w:hanging="360"/>
      </w:pPr>
      <w:rPr>
        <w:rFonts w:ascii="Arial" w:hAnsi="Arial" w:hint="default"/>
      </w:rPr>
    </w:lvl>
    <w:lvl w:ilvl="3" w:tplc="42E0E9CE" w:tentative="1">
      <w:start w:val="1"/>
      <w:numFmt w:val="bullet"/>
      <w:lvlText w:val="•"/>
      <w:lvlJc w:val="left"/>
      <w:pPr>
        <w:tabs>
          <w:tab w:val="num" w:pos="2880"/>
        </w:tabs>
        <w:ind w:left="2880" w:hanging="360"/>
      </w:pPr>
      <w:rPr>
        <w:rFonts w:ascii="Arial" w:hAnsi="Arial" w:hint="default"/>
      </w:rPr>
    </w:lvl>
    <w:lvl w:ilvl="4" w:tplc="4C303256" w:tentative="1">
      <w:start w:val="1"/>
      <w:numFmt w:val="bullet"/>
      <w:lvlText w:val="•"/>
      <w:lvlJc w:val="left"/>
      <w:pPr>
        <w:tabs>
          <w:tab w:val="num" w:pos="3600"/>
        </w:tabs>
        <w:ind w:left="3600" w:hanging="360"/>
      </w:pPr>
      <w:rPr>
        <w:rFonts w:ascii="Arial" w:hAnsi="Arial" w:hint="default"/>
      </w:rPr>
    </w:lvl>
    <w:lvl w:ilvl="5" w:tplc="8A8A438E" w:tentative="1">
      <w:start w:val="1"/>
      <w:numFmt w:val="bullet"/>
      <w:lvlText w:val="•"/>
      <w:lvlJc w:val="left"/>
      <w:pPr>
        <w:tabs>
          <w:tab w:val="num" w:pos="4320"/>
        </w:tabs>
        <w:ind w:left="4320" w:hanging="360"/>
      </w:pPr>
      <w:rPr>
        <w:rFonts w:ascii="Arial" w:hAnsi="Arial" w:hint="default"/>
      </w:rPr>
    </w:lvl>
    <w:lvl w:ilvl="6" w:tplc="F0885934" w:tentative="1">
      <w:start w:val="1"/>
      <w:numFmt w:val="bullet"/>
      <w:lvlText w:val="•"/>
      <w:lvlJc w:val="left"/>
      <w:pPr>
        <w:tabs>
          <w:tab w:val="num" w:pos="5040"/>
        </w:tabs>
        <w:ind w:left="5040" w:hanging="360"/>
      </w:pPr>
      <w:rPr>
        <w:rFonts w:ascii="Arial" w:hAnsi="Arial" w:hint="default"/>
      </w:rPr>
    </w:lvl>
    <w:lvl w:ilvl="7" w:tplc="9086F794" w:tentative="1">
      <w:start w:val="1"/>
      <w:numFmt w:val="bullet"/>
      <w:lvlText w:val="•"/>
      <w:lvlJc w:val="left"/>
      <w:pPr>
        <w:tabs>
          <w:tab w:val="num" w:pos="5760"/>
        </w:tabs>
        <w:ind w:left="5760" w:hanging="360"/>
      </w:pPr>
      <w:rPr>
        <w:rFonts w:ascii="Arial" w:hAnsi="Arial" w:hint="default"/>
      </w:rPr>
    </w:lvl>
    <w:lvl w:ilvl="8" w:tplc="AE3241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970175"/>
    <w:multiLevelType w:val="multilevel"/>
    <w:tmpl w:val="2410EF7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5D70E27"/>
    <w:multiLevelType w:val="hybridMultilevel"/>
    <w:tmpl w:val="3506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83984"/>
    <w:multiLevelType w:val="hybridMultilevel"/>
    <w:tmpl w:val="298A202A"/>
    <w:lvl w:ilvl="0" w:tplc="EBF48C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A1D8D"/>
    <w:multiLevelType w:val="hybridMultilevel"/>
    <w:tmpl w:val="E1FC0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2A1225"/>
    <w:multiLevelType w:val="hybridMultilevel"/>
    <w:tmpl w:val="C772D84A"/>
    <w:lvl w:ilvl="0" w:tplc="E06087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D55F7"/>
    <w:multiLevelType w:val="hybridMultilevel"/>
    <w:tmpl w:val="6EB2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8409B"/>
    <w:multiLevelType w:val="hybridMultilevel"/>
    <w:tmpl w:val="68D2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85B00"/>
    <w:multiLevelType w:val="hybridMultilevel"/>
    <w:tmpl w:val="B3FA324A"/>
    <w:lvl w:ilvl="0" w:tplc="062C2B64">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D73C1"/>
    <w:multiLevelType w:val="hybridMultilevel"/>
    <w:tmpl w:val="212E5106"/>
    <w:lvl w:ilvl="0" w:tplc="E06087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03B50"/>
    <w:multiLevelType w:val="hybridMultilevel"/>
    <w:tmpl w:val="7848FAAC"/>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86091"/>
    <w:multiLevelType w:val="hybridMultilevel"/>
    <w:tmpl w:val="C802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034725"/>
    <w:multiLevelType w:val="hybridMultilevel"/>
    <w:tmpl w:val="2430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F90557"/>
    <w:multiLevelType w:val="hybridMultilevel"/>
    <w:tmpl w:val="3248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916CC"/>
    <w:multiLevelType w:val="multilevel"/>
    <w:tmpl w:val="A192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27674"/>
    <w:multiLevelType w:val="hybridMultilevel"/>
    <w:tmpl w:val="018CBBC6"/>
    <w:lvl w:ilvl="0" w:tplc="C1E62B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12996"/>
    <w:multiLevelType w:val="hybridMultilevel"/>
    <w:tmpl w:val="4D66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E4875"/>
    <w:multiLevelType w:val="hybridMultilevel"/>
    <w:tmpl w:val="04F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675EE"/>
    <w:multiLevelType w:val="hybridMultilevel"/>
    <w:tmpl w:val="91EA3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827D11"/>
    <w:multiLevelType w:val="hybridMultilevel"/>
    <w:tmpl w:val="6D00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A24DB4"/>
    <w:multiLevelType w:val="hybridMultilevel"/>
    <w:tmpl w:val="88D6E580"/>
    <w:lvl w:ilvl="0" w:tplc="AD02A348">
      <w:start w:val="1"/>
      <w:numFmt w:val="decimal"/>
      <w:lvlText w:val="%1."/>
      <w:lvlJc w:val="left"/>
      <w:pPr>
        <w:ind w:left="360" w:hanging="360"/>
      </w:pPr>
      <w:rPr>
        <w:rFonts w:ascii="Arial" w:eastAsiaTheme="minorHAnsi" w:hAnsi="Arial" w:cstheme="minorBid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144017"/>
    <w:multiLevelType w:val="hybridMultilevel"/>
    <w:tmpl w:val="D654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BE6287"/>
    <w:multiLevelType w:val="hybridMultilevel"/>
    <w:tmpl w:val="812C116E"/>
    <w:lvl w:ilvl="0" w:tplc="08090003">
      <w:start w:val="1"/>
      <w:numFmt w:val="bullet"/>
      <w:lvlText w:val="o"/>
      <w:lvlJc w:val="left"/>
      <w:pPr>
        <w:ind w:left="1080" w:hanging="360"/>
      </w:pPr>
      <w:rPr>
        <w:rFonts w:ascii="Courier New" w:hAnsi="Courier New" w:cs="Courier New" w:hint="default"/>
      </w:rPr>
    </w:lvl>
    <w:lvl w:ilvl="1" w:tplc="3E0010B4">
      <w:numFmt w:val="bullet"/>
      <w:lvlText w:val="•"/>
      <w:lvlJc w:val="left"/>
      <w:pPr>
        <w:ind w:left="2160" w:hanging="720"/>
      </w:pPr>
      <w:rPr>
        <w:rFonts w:ascii="Calibri" w:eastAsiaTheme="majorEastAsia"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33620D"/>
    <w:multiLevelType w:val="hybridMultilevel"/>
    <w:tmpl w:val="9942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9A2153"/>
    <w:multiLevelType w:val="hybridMultilevel"/>
    <w:tmpl w:val="29E46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815CEE"/>
    <w:multiLevelType w:val="hybridMultilevel"/>
    <w:tmpl w:val="A99062B4"/>
    <w:lvl w:ilvl="0" w:tplc="C1E62B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56744F"/>
    <w:multiLevelType w:val="hybridMultilevel"/>
    <w:tmpl w:val="5C90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A00A7D"/>
    <w:multiLevelType w:val="hybridMultilevel"/>
    <w:tmpl w:val="1AC8D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76295F"/>
    <w:multiLevelType w:val="hybridMultilevel"/>
    <w:tmpl w:val="929C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73E46"/>
    <w:multiLevelType w:val="hybridMultilevel"/>
    <w:tmpl w:val="A80E9B8A"/>
    <w:lvl w:ilvl="0" w:tplc="E060875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3D5469"/>
    <w:multiLevelType w:val="hybridMultilevel"/>
    <w:tmpl w:val="4266B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4C3B37"/>
    <w:multiLevelType w:val="hybridMultilevel"/>
    <w:tmpl w:val="C160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86862"/>
    <w:multiLevelType w:val="hybridMultilevel"/>
    <w:tmpl w:val="14C2D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E239D8"/>
    <w:multiLevelType w:val="hybridMultilevel"/>
    <w:tmpl w:val="7FEE4E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096059"/>
    <w:multiLevelType w:val="multilevel"/>
    <w:tmpl w:val="105C0C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4303D2"/>
    <w:multiLevelType w:val="hybridMultilevel"/>
    <w:tmpl w:val="7F8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A3934"/>
    <w:multiLevelType w:val="hybridMultilevel"/>
    <w:tmpl w:val="FA0E9682"/>
    <w:lvl w:ilvl="0" w:tplc="08090001">
      <w:start w:val="1"/>
      <w:numFmt w:val="bullet"/>
      <w:lvlText w:val=""/>
      <w:lvlJc w:val="left"/>
      <w:pPr>
        <w:ind w:left="1440" w:hanging="360"/>
      </w:pPr>
      <w:rPr>
        <w:rFonts w:ascii="Symbol" w:hAnsi="Symbol" w:hint="default"/>
      </w:rPr>
    </w:lvl>
    <w:lvl w:ilvl="1" w:tplc="3E0010B4">
      <w:numFmt w:val="bullet"/>
      <w:lvlText w:val="•"/>
      <w:lvlJc w:val="left"/>
      <w:pPr>
        <w:ind w:left="2520" w:hanging="720"/>
      </w:pPr>
      <w:rPr>
        <w:rFonts w:ascii="Calibri" w:eastAsiaTheme="majorEastAsia"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40"/>
  </w:num>
  <w:num w:numId="4">
    <w:abstractNumId w:val="26"/>
  </w:num>
  <w:num w:numId="5">
    <w:abstractNumId w:val="8"/>
  </w:num>
  <w:num w:numId="6">
    <w:abstractNumId w:val="3"/>
  </w:num>
  <w:num w:numId="7">
    <w:abstractNumId w:val="11"/>
  </w:num>
  <w:num w:numId="8">
    <w:abstractNumId w:val="13"/>
  </w:num>
  <w:num w:numId="9">
    <w:abstractNumId w:val="17"/>
  </w:num>
  <w:num w:numId="10">
    <w:abstractNumId w:val="0"/>
  </w:num>
  <w:num w:numId="11">
    <w:abstractNumId w:val="43"/>
  </w:num>
  <w:num w:numId="12">
    <w:abstractNumId w:val="15"/>
  </w:num>
  <w:num w:numId="13">
    <w:abstractNumId w:val="10"/>
  </w:num>
  <w:num w:numId="14">
    <w:abstractNumId w:val="4"/>
  </w:num>
  <w:num w:numId="15">
    <w:abstractNumId w:val="32"/>
  </w:num>
  <w:num w:numId="16">
    <w:abstractNumId w:val="20"/>
  </w:num>
  <w:num w:numId="17">
    <w:abstractNumId w:val="5"/>
  </w:num>
  <w:num w:numId="18">
    <w:abstractNumId w:val="19"/>
  </w:num>
  <w:num w:numId="19">
    <w:abstractNumId w:val="12"/>
  </w:num>
  <w:num w:numId="20">
    <w:abstractNumId w:val="41"/>
  </w:num>
  <w:num w:numId="21">
    <w:abstractNumId w:val="31"/>
  </w:num>
  <w:num w:numId="22">
    <w:abstractNumId w:val="21"/>
  </w:num>
  <w:num w:numId="23">
    <w:abstractNumId w:val="1"/>
  </w:num>
  <w:num w:numId="24">
    <w:abstractNumId w:val="22"/>
  </w:num>
  <w:num w:numId="25">
    <w:abstractNumId w:val="9"/>
  </w:num>
  <w:num w:numId="26">
    <w:abstractNumId w:val="25"/>
  </w:num>
  <w:num w:numId="27">
    <w:abstractNumId w:val="30"/>
  </w:num>
  <w:num w:numId="28">
    <w:abstractNumId w:val="44"/>
  </w:num>
  <w:num w:numId="29">
    <w:abstractNumId w:val="36"/>
  </w:num>
  <w:num w:numId="30">
    <w:abstractNumId w:val="29"/>
  </w:num>
  <w:num w:numId="31">
    <w:abstractNumId w:val="39"/>
  </w:num>
  <w:num w:numId="32">
    <w:abstractNumId w:val="23"/>
  </w:num>
  <w:num w:numId="33">
    <w:abstractNumId w:val="42"/>
  </w:num>
  <w:num w:numId="34">
    <w:abstractNumId w:val="33"/>
  </w:num>
  <w:num w:numId="35">
    <w:abstractNumId w:val="28"/>
  </w:num>
  <w:num w:numId="36">
    <w:abstractNumId w:val="34"/>
  </w:num>
  <w:num w:numId="37">
    <w:abstractNumId w:val="2"/>
  </w:num>
  <w:num w:numId="38">
    <w:abstractNumId w:val="7"/>
  </w:num>
  <w:num w:numId="39">
    <w:abstractNumId w:val="16"/>
  </w:num>
  <w:num w:numId="40">
    <w:abstractNumId w:val="18"/>
  </w:num>
  <w:num w:numId="41">
    <w:abstractNumId w:val="37"/>
  </w:num>
  <w:num w:numId="42">
    <w:abstractNumId w:val="27"/>
  </w:num>
  <w:num w:numId="43">
    <w:abstractNumId w:val="24"/>
  </w:num>
  <w:num w:numId="44">
    <w:abstractNumId w:val="3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25"/>
    <w:rsid w:val="00011525"/>
    <w:rsid w:val="000203A3"/>
    <w:rsid w:val="00021B62"/>
    <w:rsid w:val="0003229D"/>
    <w:rsid w:val="00050EFE"/>
    <w:rsid w:val="00077FC4"/>
    <w:rsid w:val="00084D5F"/>
    <w:rsid w:val="00086ABD"/>
    <w:rsid w:val="00087A33"/>
    <w:rsid w:val="000941E0"/>
    <w:rsid w:val="000A29DC"/>
    <w:rsid w:val="000A395F"/>
    <w:rsid w:val="000A4C42"/>
    <w:rsid w:val="000B37A9"/>
    <w:rsid w:val="000B77DB"/>
    <w:rsid w:val="000C2CCB"/>
    <w:rsid w:val="000E1827"/>
    <w:rsid w:val="000F3D5D"/>
    <w:rsid w:val="001171FE"/>
    <w:rsid w:val="001224B7"/>
    <w:rsid w:val="001763B5"/>
    <w:rsid w:val="00190BA7"/>
    <w:rsid w:val="00197A05"/>
    <w:rsid w:val="001A523A"/>
    <w:rsid w:val="001C206F"/>
    <w:rsid w:val="001E5E99"/>
    <w:rsid w:val="001F3426"/>
    <w:rsid w:val="0020159F"/>
    <w:rsid w:val="0020609C"/>
    <w:rsid w:val="00223A71"/>
    <w:rsid w:val="002313E9"/>
    <w:rsid w:val="0023549E"/>
    <w:rsid w:val="00242971"/>
    <w:rsid w:val="00287BFF"/>
    <w:rsid w:val="00291099"/>
    <w:rsid w:val="002A429F"/>
    <w:rsid w:val="002A6DC4"/>
    <w:rsid w:val="002B46FA"/>
    <w:rsid w:val="002B49CE"/>
    <w:rsid w:val="002B73AF"/>
    <w:rsid w:val="002C1A3C"/>
    <w:rsid w:val="002C2CA3"/>
    <w:rsid w:val="002C7B6F"/>
    <w:rsid w:val="002E5630"/>
    <w:rsid w:val="002E5B7C"/>
    <w:rsid w:val="002F2F4B"/>
    <w:rsid w:val="003037A5"/>
    <w:rsid w:val="00321B59"/>
    <w:rsid w:val="00322D04"/>
    <w:rsid w:val="00344C8D"/>
    <w:rsid w:val="00360A4D"/>
    <w:rsid w:val="00367D9B"/>
    <w:rsid w:val="003732C7"/>
    <w:rsid w:val="00375275"/>
    <w:rsid w:val="00382745"/>
    <w:rsid w:val="00391209"/>
    <w:rsid w:val="003A128D"/>
    <w:rsid w:val="003A1C83"/>
    <w:rsid w:val="003B4BEB"/>
    <w:rsid w:val="003C129E"/>
    <w:rsid w:val="004015B0"/>
    <w:rsid w:val="00402AF2"/>
    <w:rsid w:val="00403B2B"/>
    <w:rsid w:val="0040726B"/>
    <w:rsid w:val="004146F9"/>
    <w:rsid w:val="0041537B"/>
    <w:rsid w:val="004366A6"/>
    <w:rsid w:val="00460217"/>
    <w:rsid w:val="0046639A"/>
    <w:rsid w:val="00484BFB"/>
    <w:rsid w:val="004A6982"/>
    <w:rsid w:val="004B168E"/>
    <w:rsid w:val="004B49AE"/>
    <w:rsid w:val="004B6CC2"/>
    <w:rsid w:val="004B6CF7"/>
    <w:rsid w:val="004C504B"/>
    <w:rsid w:val="004C7881"/>
    <w:rsid w:val="004F767E"/>
    <w:rsid w:val="00501AA0"/>
    <w:rsid w:val="00514014"/>
    <w:rsid w:val="00515F58"/>
    <w:rsid w:val="00524621"/>
    <w:rsid w:val="005250FE"/>
    <w:rsid w:val="00527A37"/>
    <w:rsid w:val="00541E72"/>
    <w:rsid w:val="00545E1F"/>
    <w:rsid w:val="00546C5A"/>
    <w:rsid w:val="00585DC8"/>
    <w:rsid w:val="00587B11"/>
    <w:rsid w:val="00590500"/>
    <w:rsid w:val="005924DB"/>
    <w:rsid w:val="005944A1"/>
    <w:rsid w:val="005A66BE"/>
    <w:rsid w:val="005C037E"/>
    <w:rsid w:val="005C33FD"/>
    <w:rsid w:val="005D1F6B"/>
    <w:rsid w:val="005D6910"/>
    <w:rsid w:val="005E6CB3"/>
    <w:rsid w:val="00606AAA"/>
    <w:rsid w:val="00640FD7"/>
    <w:rsid w:val="00641769"/>
    <w:rsid w:val="00642943"/>
    <w:rsid w:val="00643A26"/>
    <w:rsid w:val="00645B04"/>
    <w:rsid w:val="00647191"/>
    <w:rsid w:val="00653BE0"/>
    <w:rsid w:val="006662DC"/>
    <w:rsid w:val="00666B7F"/>
    <w:rsid w:val="00667B3D"/>
    <w:rsid w:val="00673452"/>
    <w:rsid w:val="00694F31"/>
    <w:rsid w:val="006A0D81"/>
    <w:rsid w:val="006A407C"/>
    <w:rsid w:val="006A7326"/>
    <w:rsid w:val="006B5530"/>
    <w:rsid w:val="006C21E4"/>
    <w:rsid w:val="006D228D"/>
    <w:rsid w:val="006D3264"/>
    <w:rsid w:val="00701784"/>
    <w:rsid w:val="00701FCF"/>
    <w:rsid w:val="0070527C"/>
    <w:rsid w:val="00706DEA"/>
    <w:rsid w:val="007225E1"/>
    <w:rsid w:val="007343A5"/>
    <w:rsid w:val="0073502F"/>
    <w:rsid w:val="00744A14"/>
    <w:rsid w:val="00745535"/>
    <w:rsid w:val="007506A4"/>
    <w:rsid w:val="00761837"/>
    <w:rsid w:val="00764585"/>
    <w:rsid w:val="0077072B"/>
    <w:rsid w:val="00785A26"/>
    <w:rsid w:val="00786FCB"/>
    <w:rsid w:val="00791816"/>
    <w:rsid w:val="00793F3D"/>
    <w:rsid w:val="007A268B"/>
    <w:rsid w:val="007B6830"/>
    <w:rsid w:val="007C2C23"/>
    <w:rsid w:val="007E24A1"/>
    <w:rsid w:val="00801840"/>
    <w:rsid w:val="00801F6A"/>
    <w:rsid w:val="00803BC8"/>
    <w:rsid w:val="008161FD"/>
    <w:rsid w:val="008344E9"/>
    <w:rsid w:val="00846983"/>
    <w:rsid w:val="0085492B"/>
    <w:rsid w:val="0085755C"/>
    <w:rsid w:val="00862614"/>
    <w:rsid w:val="008901FE"/>
    <w:rsid w:val="008909F2"/>
    <w:rsid w:val="008971CA"/>
    <w:rsid w:val="008A1EAA"/>
    <w:rsid w:val="008A3B7B"/>
    <w:rsid w:val="008D1379"/>
    <w:rsid w:val="008D6DEA"/>
    <w:rsid w:val="008E167B"/>
    <w:rsid w:val="008F2C2F"/>
    <w:rsid w:val="008F4595"/>
    <w:rsid w:val="00903CA0"/>
    <w:rsid w:val="0090426E"/>
    <w:rsid w:val="00907B01"/>
    <w:rsid w:val="00920F90"/>
    <w:rsid w:val="00922074"/>
    <w:rsid w:val="00931EB0"/>
    <w:rsid w:val="00932638"/>
    <w:rsid w:val="009346F6"/>
    <w:rsid w:val="00941EAA"/>
    <w:rsid w:val="00951392"/>
    <w:rsid w:val="00955EDB"/>
    <w:rsid w:val="00970571"/>
    <w:rsid w:val="00982BFE"/>
    <w:rsid w:val="009A3C32"/>
    <w:rsid w:val="009B1475"/>
    <w:rsid w:val="009C3655"/>
    <w:rsid w:val="009C7199"/>
    <w:rsid w:val="009D684A"/>
    <w:rsid w:val="009E5628"/>
    <w:rsid w:val="009F4176"/>
    <w:rsid w:val="00A06E78"/>
    <w:rsid w:val="00A220CF"/>
    <w:rsid w:val="00A26B4D"/>
    <w:rsid w:val="00A41309"/>
    <w:rsid w:val="00A542AD"/>
    <w:rsid w:val="00A62625"/>
    <w:rsid w:val="00A955CF"/>
    <w:rsid w:val="00AA406D"/>
    <w:rsid w:val="00AB1305"/>
    <w:rsid w:val="00AB1A30"/>
    <w:rsid w:val="00AC0ED2"/>
    <w:rsid w:val="00AD0D5B"/>
    <w:rsid w:val="00AD397E"/>
    <w:rsid w:val="00AD7FBB"/>
    <w:rsid w:val="00AE15B1"/>
    <w:rsid w:val="00AE72B0"/>
    <w:rsid w:val="00AF7CD2"/>
    <w:rsid w:val="00B018D5"/>
    <w:rsid w:val="00B02AF9"/>
    <w:rsid w:val="00B1097B"/>
    <w:rsid w:val="00B21EFD"/>
    <w:rsid w:val="00B40172"/>
    <w:rsid w:val="00B56823"/>
    <w:rsid w:val="00B75BB8"/>
    <w:rsid w:val="00B83EF7"/>
    <w:rsid w:val="00B84B40"/>
    <w:rsid w:val="00B93E90"/>
    <w:rsid w:val="00B9409C"/>
    <w:rsid w:val="00B96C6A"/>
    <w:rsid w:val="00BB43A7"/>
    <w:rsid w:val="00BD5EDE"/>
    <w:rsid w:val="00BF3E08"/>
    <w:rsid w:val="00C00A22"/>
    <w:rsid w:val="00C05C06"/>
    <w:rsid w:val="00C17971"/>
    <w:rsid w:val="00C217F2"/>
    <w:rsid w:val="00C35B79"/>
    <w:rsid w:val="00C46A2A"/>
    <w:rsid w:val="00C67326"/>
    <w:rsid w:val="00C73630"/>
    <w:rsid w:val="00C87CB3"/>
    <w:rsid w:val="00C925C5"/>
    <w:rsid w:val="00CA2E18"/>
    <w:rsid w:val="00CA5D23"/>
    <w:rsid w:val="00CB0BD0"/>
    <w:rsid w:val="00CB5F02"/>
    <w:rsid w:val="00CD1708"/>
    <w:rsid w:val="00CE6132"/>
    <w:rsid w:val="00CF0EFB"/>
    <w:rsid w:val="00CF6C1D"/>
    <w:rsid w:val="00D240DF"/>
    <w:rsid w:val="00D33B29"/>
    <w:rsid w:val="00D33B60"/>
    <w:rsid w:val="00D450E0"/>
    <w:rsid w:val="00D64E75"/>
    <w:rsid w:val="00D666A5"/>
    <w:rsid w:val="00D66E55"/>
    <w:rsid w:val="00D73E99"/>
    <w:rsid w:val="00D76BED"/>
    <w:rsid w:val="00D8179F"/>
    <w:rsid w:val="00D82580"/>
    <w:rsid w:val="00D87F1C"/>
    <w:rsid w:val="00D93A65"/>
    <w:rsid w:val="00DD220D"/>
    <w:rsid w:val="00DE67E1"/>
    <w:rsid w:val="00E2165B"/>
    <w:rsid w:val="00E31ADD"/>
    <w:rsid w:val="00E361A6"/>
    <w:rsid w:val="00E373A3"/>
    <w:rsid w:val="00E5180E"/>
    <w:rsid w:val="00E70FB5"/>
    <w:rsid w:val="00E73529"/>
    <w:rsid w:val="00E77849"/>
    <w:rsid w:val="00E808AD"/>
    <w:rsid w:val="00E83227"/>
    <w:rsid w:val="00EA3DFA"/>
    <w:rsid w:val="00EC5915"/>
    <w:rsid w:val="00EC5C59"/>
    <w:rsid w:val="00ED7E8E"/>
    <w:rsid w:val="00EE5883"/>
    <w:rsid w:val="00F01E02"/>
    <w:rsid w:val="00F04680"/>
    <w:rsid w:val="00F0781D"/>
    <w:rsid w:val="00F07945"/>
    <w:rsid w:val="00F21157"/>
    <w:rsid w:val="00F2529B"/>
    <w:rsid w:val="00F32E55"/>
    <w:rsid w:val="00F55711"/>
    <w:rsid w:val="00F55FF3"/>
    <w:rsid w:val="00F80D79"/>
    <w:rsid w:val="00FA0ECB"/>
    <w:rsid w:val="00FA5A87"/>
    <w:rsid w:val="00FA6B46"/>
    <w:rsid w:val="00FA7F2C"/>
    <w:rsid w:val="00FB1B75"/>
    <w:rsid w:val="00FB3E0D"/>
    <w:rsid w:val="00FD2B54"/>
    <w:rsid w:val="00FD63C0"/>
    <w:rsid w:val="00FD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C4D60A"/>
  <w15:docId w15:val="{583EB4C1-7604-4624-A66A-7CFC3620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95F"/>
    <w:pPr>
      <w:keepNext/>
      <w:keepLines/>
      <w:spacing w:before="240" w:line="259" w:lineRule="auto"/>
      <w:outlineLvl w:val="0"/>
    </w:pPr>
    <w:rPr>
      <w:rFonts w:eastAsiaTheme="majorEastAsia" w:cs="Arial"/>
      <w:b/>
      <w:color w:val="365F91" w:themeColor="accent1" w:themeShade="BF"/>
      <w:sz w:val="32"/>
      <w:szCs w:val="32"/>
    </w:rPr>
  </w:style>
  <w:style w:type="paragraph" w:styleId="Heading2">
    <w:name w:val="heading 2"/>
    <w:basedOn w:val="Normal"/>
    <w:next w:val="Normal"/>
    <w:link w:val="Heading2Char"/>
    <w:uiPriority w:val="9"/>
    <w:unhideWhenUsed/>
    <w:qFormat/>
    <w:rsid w:val="00E735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352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7352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7352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7352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7352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7352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7352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FA7F2C"/>
    <w:pPr>
      <w:spacing w:after="200" w:line="276"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1F3426"/>
    <w:rPr>
      <w:rFonts w:ascii="Tahoma" w:hAnsi="Tahoma" w:cs="Tahoma"/>
      <w:sz w:val="16"/>
      <w:szCs w:val="16"/>
    </w:rPr>
  </w:style>
  <w:style w:type="character" w:customStyle="1" w:styleId="BalloonTextChar">
    <w:name w:val="Balloon Text Char"/>
    <w:basedOn w:val="DefaultParagraphFont"/>
    <w:link w:val="BalloonText"/>
    <w:uiPriority w:val="99"/>
    <w:semiHidden/>
    <w:rsid w:val="001F3426"/>
    <w:rPr>
      <w:rFonts w:ascii="Tahoma" w:hAnsi="Tahoma" w:cs="Tahoma"/>
      <w:sz w:val="16"/>
      <w:szCs w:val="16"/>
    </w:rPr>
  </w:style>
  <w:style w:type="paragraph" w:customStyle="1" w:styleId="Default">
    <w:name w:val="Default"/>
    <w:rsid w:val="001F3426"/>
    <w:pPr>
      <w:autoSpaceDE w:val="0"/>
      <w:autoSpaceDN w:val="0"/>
      <w:adjustRightInd w:val="0"/>
    </w:pPr>
    <w:rPr>
      <w:rFonts w:cs="Arial"/>
      <w:color w:val="000000"/>
      <w:sz w:val="24"/>
      <w:szCs w:val="24"/>
    </w:rPr>
  </w:style>
  <w:style w:type="paragraph" w:customStyle="1" w:styleId="TableParagraph">
    <w:name w:val="Table Paragraph"/>
    <w:basedOn w:val="Normal"/>
    <w:uiPriority w:val="1"/>
    <w:qFormat/>
    <w:rsid w:val="00C67326"/>
    <w:pPr>
      <w:widowControl w:val="0"/>
      <w:autoSpaceDE w:val="0"/>
      <w:autoSpaceDN w:val="0"/>
      <w:ind w:left="107"/>
    </w:pPr>
    <w:rPr>
      <w:rFonts w:ascii="Calibri" w:eastAsia="Calibri" w:hAnsi="Calibri" w:cs="Calibri"/>
      <w:lang w:eastAsia="en-GB" w:bidi="en-GB"/>
    </w:rPr>
  </w:style>
  <w:style w:type="character" w:styleId="CommentReference">
    <w:name w:val="annotation reference"/>
    <w:basedOn w:val="DefaultParagraphFont"/>
    <w:uiPriority w:val="99"/>
    <w:semiHidden/>
    <w:unhideWhenUsed/>
    <w:rsid w:val="00FA6B46"/>
    <w:rPr>
      <w:sz w:val="16"/>
      <w:szCs w:val="16"/>
    </w:rPr>
  </w:style>
  <w:style w:type="paragraph" w:styleId="CommentText">
    <w:name w:val="annotation text"/>
    <w:basedOn w:val="Normal"/>
    <w:link w:val="CommentTextChar"/>
    <w:uiPriority w:val="99"/>
    <w:semiHidden/>
    <w:unhideWhenUsed/>
    <w:rsid w:val="00FA6B46"/>
    <w:rPr>
      <w:sz w:val="20"/>
      <w:szCs w:val="20"/>
    </w:rPr>
  </w:style>
  <w:style w:type="character" w:customStyle="1" w:styleId="CommentTextChar">
    <w:name w:val="Comment Text Char"/>
    <w:basedOn w:val="DefaultParagraphFont"/>
    <w:link w:val="CommentText"/>
    <w:uiPriority w:val="99"/>
    <w:semiHidden/>
    <w:rsid w:val="00FA6B46"/>
    <w:rPr>
      <w:sz w:val="20"/>
      <w:szCs w:val="20"/>
    </w:rPr>
  </w:style>
  <w:style w:type="paragraph" w:styleId="CommentSubject">
    <w:name w:val="annotation subject"/>
    <w:basedOn w:val="CommentText"/>
    <w:next w:val="CommentText"/>
    <w:link w:val="CommentSubjectChar"/>
    <w:uiPriority w:val="99"/>
    <w:semiHidden/>
    <w:unhideWhenUsed/>
    <w:rsid w:val="00FA6B46"/>
    <w:rPr>
      <w:b/>
      <w:bCs/>
    </w:rPr>
  </w:style>
  <w:style w:type="character" w:customStyle="1" w:styleId="CommentSubjectChar">
    <w:name w:val="Comment Subject Char"/>
    <w:basedOn w:val="CommentTextChar"/>
    <w:link w:val="CommentSubject"/>
    <w:uiPriority w:val="99"/>
    <w:semiHidden/>
    <w:rsid w:val="00FA6B46"/>
    <w:rPr>
      <w:b/>
      <w:bCs/>
      <w:sz w:val="20"/>
      <w:szCs w:val="20"/>
    </w:rPr>
  </w:style>
  <w:style w:type="character" w:styleId="Hyperlink">
    <w:name w:val="Hyperlink"/>
    <w:basedOn w:val="DefaultParagraphFont"/>
    <w:uiPriority w:val="99"/>
    <w:unhideWhenUsed/>
    <w:rsid w:val="000A29DC"/>
    <w:rPr>
      <w:color w:val="0000FF" w:themeColor="hyperlink"/>
      <w:u w:val="single"/>
    </w:rPr>
  </w:style>
  <w:style w:type="paragraph" w:styleId="Revision">
    <w:name w:val="Revision"/>
    <w:hidden/>
    <w:uiPriority w:val="99"/>
    <w:semiHidden/>
    <w:rsid w:val="00F55FF3"/>
  </w:style>
  <w:style w:type="paragraph" w:styleId="Header">
    <w:name w:val="header"/>
    <w:basedOn w:val="Normal"/>
    <w:link w:val="HeaderChar"/>
    <w:uiPriority w:val="99"/>
    <w:unhideWhenUsed/>
    <w:rsid w:val="00F32E55"/>
    <w:pPr>
      <w:tabs>
        <w:tab w:val="center" w:pos="4513"/>
        <w:tab w:val="right" w:pos="9026"/>
      </w:tabs>
    </w:pPr>
  </w:style>
  <w:style w:type="character" w:customStyle="1" w:styleId="HeaderChar">
    <w:name w:val="Header Char"/>
    <w:basedOn w:val="DefaultParagraphFont"/>
    <w:link w:val="Header"/>
    <w:uiPriority w:val="99"/>
    <w:rsid w:val="00F32E55"/>
  </w:style>
  <w:style w:type="paragraph" w:styleId="Footer">
    <w:name w:val="footer"/>
    <w:basedOn w:val="Normal"/>
    <w:link w:val="FooterChar"/>
    <w:uiPriority w:val="99"/>
    <w:unhideWhenUsed/>
    <w:rsid w:val="00F32E55"/>
    <w:pPr>
      <w:tabs>
        <w:tab w:val="center" w:pos="4513"/>
        <w:tab w:val="right" w:pos="9026"/>
      </w:tabs>
    </w:pPr>
  </w:style>
  <w:style w:type="character" w:customStyle="1" w:styleId="FooterChar">
    <w:name w:val="Footer Char"/>
    <w:basedOn w:val="DefaultParagraphFont"/>
    <w:link w:val="Footer"/>
    <w:uiPriority w:val="99"/>
    <w:rsid w:val="00F32E55"/>
  </w:style>
  <w:style w:type="character" w:styleId="UnresolvedMention">
    <w:name w:val="Unresolved Mention"/>
    <w:basedOn w:val="DefaultParagraphFont"/>
    <w:uiPriority w:val="99"/>
    <w:semiHidden/>
    <w:unhideWhenUsed/>
    <w:rsid w:val="00CB0BD0"/>
    <w:rPr>
      <w:color w:val="605E5C"/>
      <w:shd w:val="clear" w:color="auto" w:fill="E1DFDD"/>
    </w:rPr>
  </w:style>
  <w:style w:type="character" w:customStyle="1" w:styleId="Heading1Char">
    <w:name w:val="Heading 1 Char"/>
    <w:basedOn w:val="DefaultParagraphFont"/>
    <w:link w:val="Heading1"/>
    <w:uiPriority w:val="9"/>
    <w:rsid w:val="000A395F"/>
    <w:rPr>
      <w:rFonts w:eastAsiaTheme="majorEastAsia" w:cs="Arial"/>
      <w:b/>
      <w:color w:val="365F91" w:themeColor="accent1" w:themeShade="BF"/>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94F31"/>
    <w:rPr>
      <w:rFonts w:asciiTheme="minorHAnsi" w:hAnsiTheme="minorHAnsi"/>
    </w:rPr>
  </w:style>
  <w:style w:type="table" w:styleId="TableGrid">
    <w:name w:val="Table Grid"/>
    <w:basedOn w:val="TableNormal"/>
    <w:uiPriority w:val="59"/>
    <w:rsid w:val="0064294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3B29"/>
    <w:pPr>
      <w:outlineLvl w:val="9"/>
    </w:pPr>
    <w:rPr>
      <w:rFonts w:asciiTheme="majorHAnsi" w:hAnsiTheme="majorHAnsi" w:cstheme="majorBidi"/>
      <w:b w:val="0"/>
      <w:lang w:val="en-US"/>
    </w:rPr>
  </w:style>
  <w:style w:type="paragraph" w:styleId="TOC1">
    <w:name w:val="toc 1"/>
    <w:basedOn w:val="Normal"/>
    <w:next w:val="Normal"/>
    <w:autoRedefine/>
    <w:uiPriority w:val="39"/>
    <w:unhideWhenUsed/>
    <w:rsid w:val="00D33B29"/>
    <w:pPr>
      <w:spacing w:after="100"/>
    </w:pPr>
  </w:style>
  <w:style w:type="character" w:customStyle="1" w:styleId="Heading2Char">
    <w:name w:val="Heading 2 Char"/>
    <w:basedOn w:val="DefaultParagraphFont"/>
    <w:link w:val="Heading2"/>
    <w:uiPriority w:val="9"/>
    <w:rsid w:val="00E735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735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7352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E7352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E7352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E7352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E735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73529"/>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606AAA"/>
    <w:pPr>
      <w:spacing w:after="100"/>
      <w:ind w:left="220"/>
    </w:pPr>
  </w:style>
  <w:style w:type="paragraph" w:styleId="TOC3">
    <w:name w:val="toc 3"/>
    <w:basedOn w:val="Normal"/>
    <w:next w:val="Normal"/>
    <w:autoRedefine/>
    <w:uiPriority w:val="39"/>
    <w:unhideWhenUsed/>
    <w:rsid w:val="00606AAA"/>
    <w:pPr>
      <w:spacing w:after="100"/>
      <w:ind w:left="440"/>
    </w:pPr>
  </w:style>
  <w:style w:type="paragraph" w:styleId="TOC4">
    <w:name w:val="toc 4"/>
    <w:basedOn w:val="Normal"/>
    <w:next w:val="Normal"/>
    <w:autoRedefine/>
    <w:uiPriority w:val="39"/>
    <w:unhideWhenUsed/>
    <w:rsid w:val="00801840"/>
    <w:pPr>
      <w:spacing w:after="100"/>
      <w:ind w:left="660"/>
    </w:pPr>
  </w:style>
  <w:style w:type="paragraph" w:styleId="Index1">
    <w:name w:val="index 1"/>
    <w:basedOn w:val="Normal"/>
    <w:next w:val="Normal"/>
    <w:autoRedefine/>
    <w:uiPriority w:val="99"/>
    <w:semiHidden/>
    <w:unhideWhenUsed/>
    <w:rsid w:val="00606AAA"/>
    <w:pPr>
      <w:ind w:left="220" w:hanging="220"/>
    </w:pPr>
  </w:style>
  <w:style w:type="paragraph" w:styleId="TOC5">
    <w:name w:val="toc 5"/>
    <w:basedOn w:val="Normal"/>
    <w:next w:val="Normal"/>
    <w:autoRedefine/>
    <w:uiPriority w:val="39"/>
    <w:unhideWhenUsed/>
    <w:rsid w:val="00801840"/>
    <w:pPr>
      <w:spacing w:after="100"/>
      <w:ind w:left="880"/>
    </w:pPr>
  </w:style>
  <w:style w:type="paragraph" w:styleId="TOC6">
    <w:name w:val="toc 6"/>
    <w:basedOn w:val="Normal"/>
    <w:next w:val="Normal"/>
    <w:autoRedefine/>
    <w:uiPriority w:val="39"/>
    <w:unhideWhenUsed/>
    <w:rsid w:val="00801840"/>
    <w:pPr>
      <w:spacing w:after="100"/>
      <w:ind w:left="1100"/>
    </w:pPr>
  </w:style>
  <w:style w:type="paragraph" w:styleId="TOC7">
    <w:name w:val="toc 7"/>
    <w:basedOn w:val="Normal"/>
    <w:next w:val="Normal"/>
    <w:autoRedefine/>
    <w:uiPriority w:val="39"/>
    <w:unhideWhenUsed/>
    <w:rsid w:val="00801840"/>
    <w:pPr>
      <w:spacing w:after="100"/>
      <w:ind w:left="1320"/>
    </w:pPr>
  </w:style>
  <w:style w:type="paragraph" w:styleId="TOC8">
    <w:name w:val="toc 8"/>
    <w:basedOn w:val="Normal"/>
    <w:next w:val="Normal"/>
    <w:autoRedefine/>
    <w:uiPriority w:val="39"/>
    <w:unhideWhenUsed/>
    <w:rsid w:val="00801840"/>
    <w:pPr>
      <w:spacing w:after="100"/>
      <w:ind w:left="1540"/>
    </w:pPr>
  </w:style>
  <w:style w:type="paragraph" w:styleId="TOC9">
    <w:name w:val="toc 9"/>
    <w:basedOn w:val="Normal"/>
    <w:next w:val="Normal"/>
    <w:autoRedefine/>
    <w:uiPriority w:val="39"/>
    <w:unhideWhenUsed/>
    <w:rsid w:val="0080184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4978">
      <w:bodyDiv w:val="1"/>
      <w:marLeft w:val="0"/>
      <w:marRight w:val="0"/>
      <w:marTop w:val="0"/>
      <w:marBottom w:val="0"/>
      <w:divBdr>
        <w:top w:val="none" w:sz="0" w:space="0" w:color="auto"/>
        <w:left w:val="none" w:sz="0" w:space="0" w:color="auto"/>
        <w:bottom w:val="none" w:sz="0" w:space="0" w:color="auto"/>
        <w:right w:val="none" w:sz="0" w:space="0" w:color="auto"/>
      </w:divBdr>
    </w:div>
    <w:div w:id="530456494">
      <w:bodyDiv w:val="1"/>
      <w:marLeft w:val="0"/>
      <w:marRight w:val="0"/>
      <w:marTop w:val="0"/>
      <w:marBottom w:val="0"/>
      <w:divBdr>
        <w:top w:val="none" w:sz="0" w:space="0" w:color="auto"/>
        <w:left w:val="none" w:sz="0" w:space="0" w:color="auto"/>
        <w:bottom w:val="none" w:sz="0" w:space="0" w:color="auto"/>
        <w:right w:val="none" w:sz="0" w:space="0" w:color="auto"/>
      </w:divBdr>
    </w:div>
    <w:div w:id="647520415">
      <w:bodyDiv w:val="1"/>
      <w:marLeft w:val="0"/>
      <w:marRight w:val="0"/>
      <w:marTop w:val="0"/>
      <w:marBottom w:val="0"/>
      <w:divBdr>
        <w:top w:val="none" w:sz="0" w:space="0" w:color="auto"/>
        <w:left w:val="none" w:sz="0" w:space="0" w:color="auto"/>
        <w:bottom w:val="none" w:sz="0" w:space="0" w:color="auto"/>
        <w:right w:val="none" w:sz="0" w:space="0" w:color="auto"/>
      </w:divBdr>
    </w:div>
    <w:div w:id="1036614944">
      <w:bodyDiv w:val="1"/>
      <w:marLeft w:val="0"/>
      <w:marRight w:val="0"/>
      <w:marTop w:val="0"/>
      <w:marBottom w:val="0"/>
      <w:divBdr>
        <w:top w:val="none" w:sz="0" w:space="0" w:color="auto"/>
        <w:left w:val="none" w:sz="0" w:space="0" w:color="auto"/>
        <w:bottom w:val="none" w:sz="0" w:space="0" w:color="auto"/>
        <w:right w:val="none" w:sz="0" w:space="0" w:color="auto"/>
      </w:divBdr>
    </w:div>
    <w:div w:id="1181704993">
      <w:bodyDiv w:val="1"/>
      <w:marLeft w:val="0"/>
      <w:marRight w:val="0"/>
      <w:marTop w:val="0"/>
      <w:marBottom w:val="0"/>
      <w:divBdr>
        <w:top w:val="none" w:sz="0" w:space="0" w:color="auto"/>
        <w:left w:val="none" w:sz="0" w:space="0" w:color="auto"/>
        <w:bottom w:val="none" w:sz="0" w:space="0" w:color="auto"/>
        <w:right w:val="none" w:sz="0" w:space="0" w:color="auto"/>
      </w:divBdr>
      <w:divsChild>
        <w:div w:id="1849369494">
          <w:marLeft w:val="446"/>
          <w:marRight w:val="0"/>
          <w:marTop w:val="40"/>
          <w:marBottom w:val="40"/>
          <w:divBdr>
            <w:top w:val="none" w:sz="0" w:space="0" w:color="auto"/>
            <w:left w:val="none" w:sz="0" w:space="0" w:color="auto"/>
            <w:bottom w:val="none" w:sz="0" w:space="0" w:color="auto"/>
            <w:right w:val="none" w:sz="0" w:space="0" w:color="auto"/>
          </w:divBdr>
        </w:div>
      </w:divsChild>
    </w:div>
    <w:div w:id="1292058802">
      <w:bodyDiv w:val="1"/>
      <w:marLeft w:val="0"/>
      <w:marRight w:val="0"/>
      <w:marTop w:val="0"/>
      <w:marBottom w:val="0"/>
      <w:divBdr>
        <w:top w:val="none" w:sz="0" w:space="0" w:color="auto"/>
        <w:left w:val="none" w:sz="0" w:space="0" w:color="auto"/>
        <w:bottom w:val="none" w:sz="0" w:space="0" w:color="auto"/>
        <w:right w:val="none" w:sz="0" w:space="0" w:color="auto"/>
      </w:divBdr>
    </w:div>
    <w:div w:id="1400900007">
      <w:bodyDiv w:val="1"/>
      <w:marLeft w:val="0"/>
      <w:marRight w:val="0"/>
      <w:marTop w:val="0"/>
      <w:marBottom w:val="0"/>
      <w:divBdr>
        <w:top w:val="none" w:sz="0" w:space="0" w:color="auto"/>
        <w:left w:val="none" w:sz="0" w:space="0" w:color="auto"/>
        <w:bottom w:val="none" w:sz="0" w:space="0" w:color="auto"/>
        <w:right w:val="none" w:sz="0" w:space="0" w:color="auto"/>
      </w:divBdr>
    </w:div>
    <w:div w:id="1677996132">
      <w:bodyDiv w:val="1"/>
      <w:marLeft w:val="0"/>
      <w:marRight w:val="0"/>
      <w:marTop w:val="0"/>
      <w:marBottom w:val="0"/>
      <w:divBdr>
        <w:top w:val="none" w:sz="0" w:space="0" w:color="auto"/>
        <w:left w:val="none" w:sz="0" w:space="0" w:color="auto"/>
        <w:bottom w:val="none" w:sz="0" w:space="0" w:color="auto"/>
        <w:right w:val="none" w:sz="0" w:space="0" w:color="auto"/>
      </w:divBdr>
    </w:div>
    <w:div w:id="2141530291">
      <w:bodyDiv w:val="1"/>
      <w:marLeft w:val="0"/>
      <w:marRight w:val="0"/>
      <w:marTop w:val="0"/>
      <w:marBottom w:val="0"/>
      <w:divBdr>
        <w:top w:val="none" w:sz="0" w:space="0" w:color="auto"/>
        <w:left w:val="none" w:sz="0" w:space="0" w:color="auto"/>
        <w:bottom w:val="none" w:sz="0" w:space="0" w:color="auto"/>
        <w:right w:val="none" w:sz="0" w:space="0" w:color="auto"/>
      </w:divBdr>
      <w:divsChild>
        <w:div w:id="356734665">
          <w:marLeft w:val="44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GrantsHeadsOn@sussexpartnership.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ruGb6r8jn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rantsHeadsOn@sussexpartnership.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wp-content/uploads/2021/06/B0905-vcse-and-ics-partnerships.pdf" TargetMode="External"/><Relationship Id="rId5" Type="http://schemas.openxmlformats.org/officeDocument/2006/relationships/webSettings" Target="webSettings.xml"/><Relationship Id="rId15" Type="http://schemas.openxmlformats.org/officeDocument/2006/relationships/hyperlink" Target="mailto:GrantsHeadsOn@sussexpartnership.nhs.uk" TargetMode="External"/><Relationship Id="rId10" Type="http://schemas.openxmlformats.org/officeDocument/2006/relationships/hyperlink" Target="mailto:GrantsHeadsOn@sussexpartnership.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eadsoncharity.org/news/sussex-health-and-care-mental-health-collaborative-updated-funding-opportun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B955-6E19-45E6-B9EB-840C2464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 Bell (Sussex Partnership Trust)</dc:creator>
  <cp:lastModifiedBy>RULE, Jennie (SPFT)</cp:lastModifiedBy>
  <cp:revision>8</cp:revision>
  <dcterms:created xsi:type="dcterms:W3CDTF">2022-11-07T15:59:00Z</dcterms:created>
  <dcterms:modified xsi:type="dcterms:W3CDTF">2023-01-04T15:48:00Z</dcterms:modified>
</cp:coreProperties>
</file>